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四川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银行20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21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三季度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理财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业务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报告</w:t>
      </w:r>
    </w:p>
    <w:p>
      <w:pPr>
        <w:widowControl/>
        <w:ind w:firstLine="640" w:firstLineChars="200"/>
        <w:jc w:val="left"/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2021年第三季度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，理财业务整体平稳运行。本报告报告期为2021年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月1日至2021年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月30日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运行情况公告如下：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 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一、理财业务总体运行情况</w:t>
      </w:r>
    </w:p>
    <w:p>
      <w:pPr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报告期内四川银行共发行成立理财产品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期，募集资金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29.11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亿元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;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到期理财产品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期，合计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18.28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亿元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;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截至2021年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月末，全行理财产品余额为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64.83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亿元。具体分类如下：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67"/>
        <w:gridCol w:w="1148"/>
        <w:gridCol w:w="1148"/>
        <w:gridCol w:w="1148"/>
        <w:gridCol w:w="11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688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产品类型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发行</w:t>
            </w:r>
            <w:r>
              <w:rPr>
                <w:rStyle w:val="5"/>
                <w:rFonts w:hint="eastAsia" w:ascii="仿宋" w:hAnsi="仿宋" w:eastAsia="仿宋" w:cs="仿宋"/>
                <w:lang w:bidi="ar"/>
              </w:rPr>
              <w:t>数量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发行</w:t>
            </w:r>
            <w:r>
              <w:rPr>
                <w:rStyle w:val="5"/>
                <w:rFonts w:hint="eastAsia" w:ascii="仿宋" w:hAnsi="仿宋" w:eastAsia="仿宋" w:cs="仿宋"/>
                <w:lang w:bidi="ar"/>
              </w:rPr>
              <w:t>金额(亿元)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到期数量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到期金额</w:t>
            </w:r>
            <w:r>
              <w:rPr>
                <w:rStyle w:val="5"/>
                <w:rFonts w:hint="eastAsia" w:ascii="仿宋" w:hAnsi="仿宋" w:eastAsia="仿宋" w:cs="仿宋"/>
                <w:lang w:bidi="ar"/>
              </w:rPr>
              <w:t>(亿元)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68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（固定收益类）</w:t>
            </w: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2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按募集方式划分</w:t>
            </w:r>
          </w:p>
        </w:tc>
        <w:tc>
          <w:tcPr>
            <w:tcW w:w="18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公募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39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29.11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30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17.9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私募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0.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按产品收益划分</w:t>
            </w:r>
          </w:p>
        </w:tc>
        <w:tc>
          <w:tcPr>
            <w:tcW w:w="18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净值型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38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27.83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5.76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预期收益型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1.28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22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12.52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按运作模式划分</w:t>
            </w:r>
          </w:p>
        </w:tc>
        <w:tc>
          <w:tcPr>
            <w:tcW w:w="18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封闭式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39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29.11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30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15.77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开放式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2.51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t xml:space="preserve">                                                                               </w:t>
      </w:r>
    </w:p>
    <w:p>
      <w:pPr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期末存续理财产品情况</w:t>
      </w:r>
    </w:p>
    <w:p>
      <w:pPr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截至2021年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末，我行存续理财产品共计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期，余额共计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64.83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亿元。具体分类及数据如下：</w:t>
      </w:r>
    </w:p>
    <w:tbl>
      <w:tblPr>
        <w:tblStyle w:val="2"/>
        <w:tblW w:w="83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887"/>
        <w:gridCol w:w="1036"/>
        <w:gridCol w:w="1418"/>
        <w:gridCol w:w="1090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3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产品类型</w:t>
            </w:r>
          </w:p>
        </w:tc>
        <w:tc>
          <w:tcPr>
            <w:tcW w:w="10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月末数量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月末余额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(亿元)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末数量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末余额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（亿元）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62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按募集方式划分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公募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62.83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49.66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6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私募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2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按产品收益划分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净值型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60.85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36.60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预期收益型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3.98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2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按运作模式划分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封闭式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48.23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34.65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开放式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16.60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17.31</w:t>
            </w:r>
          </w:p>
        </w:tc>
      </w:tr>
    </w:tbl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三、 理财产品投资资产情况 </w:t>
      </w:r>
    </w:p>
    <w:p>
      <w:pPr>
        <w:ind w:left="64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1、期末投资资产情况</w:t>
      </w:r>
    </w:p>
    <w:p>
      <w:pPr>
        <w:ind w:firstLine="640" w:firstLineChars="200"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/>
          <w:sz w:val="32"/>
          <w:szCs w:val="32"/>
        </w:rPr>
        <w:t>截至2021年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月末</w:t>
      </w:r>
      <w:r>
        <w:rPr>
          <w:rFonts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我行理财产品底层资产投资标的主要包含：债券、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同业存单、</w:t>
      </w:r>
      <w:r>
        <w:rPr>
          <w:rFonts w:hint="eastAsia" w:ascii="仿宋_GB2312" w:hAnsi="仿宋" w:eastAsia="仿宋_GB2312"/>
          <w:sz w:val="32"/>
          <w:szCs w:val="32"/>
        </w:rPr>
        <w:t>交易所质押式逆回购、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基金资产管理计划</w:t>
      </w:r>
      <w:r>
        <w:rPr>
          <w:rFonts w:hint="eastAsia" w:ascii="仿宋_GB2312" w:hAnsi="仿宋" w:eastAsia="仿宋_GB2312"/>
          <w:sz w:val="32"/>
          <w:szCs w:val="32"/>
        </w:rPr>
        <w:t>等，具体分类及占比如下：</w:t>
      </w:r>
    </w:p>
    <w:tbl>
      <w:tblPr>
        <w:tblStyle w:val="2"/>
        <w:tblW w:w="90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1533"/>
        <w:gridCol w:w="1701"/>
        <w:gridCol w:w="1612"/>
        <w:gridCol w:w="1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底层资产</w:t>
            </w:r>
          </w:p>
        </w:tc>
        <w:tc>
          <w:tcPr>
            <w:tcW w:w="3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2021年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月末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2021年6月末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金额（亿元）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占比（%）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金额（亿元）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占比（%）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现金及银行存款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7.44 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7.49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4.34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交易所质押式逆回购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26.43 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7.70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同业存单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7.08 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债券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57.41 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35.62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68.21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基金资产管理计划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1.64 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1.41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非标准化债权资产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52.22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</w:tr>
    </w:tbl>
    <w:p>
      <w:pPr>
        <w:widowControl/>
        <w:jc w:val="left"/>
      </w:pPr>
      <w:r>
        <w:rPr>
          <w:rFonts w:hint="eastAsia" w:ascii="仿宋" w:hAnsi="仿宋" w:eastAsia="仿宋"/>
          <w:b/>
          <w:bCs/>
          <w:sz w:val="32"/>
          <w:szCs w:val="32"/>
        </w:rPr>
        <w:t>2、非标准化债权类资产情况</w:t>
      </w:r>
    </w:p>
    <w:p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截至2021年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月30日,我行理财投资非标准化债权资产余额为0元。 </w:t>
      </w:r>
    </w:p>
    <w:p>
      <w:pPr>
        <w:widowControl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四、其他信息 </w:t>
      </w:r>
    </w:p>
    <w:p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根据《商业银行理财业务监督管理办法》（银保监令2018 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年第6号）披露要求，我行理财产品投资于关联方资产如下：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资产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金额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万元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天府信用增进股份有限公司2020年面向专业投资者非公开发行可续期公司债券（第二期）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成都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天府新区投资集团有限公司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2021年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公开发行可续期公司债券（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第一期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2021年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攀枝花市国有投资（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集团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有限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责任公司公司债券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highlight w:val="yellow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四川发展资产管理有限公司2021年度第一期定向债务融资工具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四川省能源投资集团有限责任公司2021年度第二期中期票据（品种二）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攀枝花城市投资建设（集团）有限公司2021年第一期定向债务融资工具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2000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highlight w:val="yellow"/>
          <w:lang w:bidi="ar"/>
        </w:rPr>
      </w:pPr>
    </w:p>
    <w:p>
      <w:pPr>
        <w:widowControl/>
        <w:jc w:val="righ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四川银行股份有限公司 </w:t>
      </w:r>
    </w:p>
    <w:p>
      <w:pPr>
        <w:widowControl/>
        <w:jc w:val="right"/>
      </w:pPr>
      <w:r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年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月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19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3178B"/>
    <w:multiLevelType w:val="singleLevel"/>
    <w:tmpl w:val="D853178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85E88"/>
    <w:rsid w:val="000F4019"/>
    <w:rsid w:val="001E6268"/>
    <w:rsid w:val="00487416"/>
    <w:rsid w:val="007408A1"/>
    <w:rsid w:val="007E45D8"/>
    <w:rsid w:val="00816F92"/>
    <w:rsid w:val="00974096"/>
    <w:rsid w:val="009A6A7C"/>
    <w:rsid w:val="00EA3F20"/>
    <w:rsid w:val="02143A07"/>
    <w:rsid w:val="04A77240"/>
    <w:rsid w:val="0AF116BB"/>
    <w:rsid w:val="0B4861C6"/>
    <w:rsid w:val="15EB56C3"/>
    <w:rsid w:val="20494FC9"/>
    <w:rsid w:val="23671F9E"/>
    <w:rsid w:val="23EB25CB"/>
    <w:rsid w:val="35E706E8"/>
    <w:rsid w:val="420D1ED6"/>
    <w:rsid w:val="422212D1"/>
    <w:rsid w:val="4256654E"/>
    <w:rsid w:val="458E5741"/>
    <w:rsid w:val="4F947C8B"/>
    <w:rsid w:val="4FA32CAA"/>
    <w:rsid w:val="5383403C"/>
    <w:rsid w:val="5A0D63A3"/>
    <w:rsid w:val="5C277537"/>
    <w:rsid w:val="6DB22A8A"/>
    <w:rsid w:val="7D5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6E9CB5-2A47-4208-93C8-7A763848EA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203</Words>
  <Characters>1159</Characters>
  <Lines>9</Lines>
  <Paragraphs>2</Paragraphs>
  <TotalTime>174</TotalTime>
  <ScaleCrop>false</ScaleCrop>
  <LinksUpToDate>false</LinksUpToDate>
  <CharactersWithSpaces>1360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2021-02-26T02:49:00Z</dcterms:created>
  <dc:creator>苏晓雅</dc:creator>
  <cp:lastModifiedBy>苏晓雅</cp:lastModifiedBy>
  <dcterms:modified xsi:type="dcterms:W3CDTF">2021-10-27T01:11:38Z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138AC07D7A424849A80A04BFA36A81D5</vt:lpwstr>
  </property>
</Properties>
</file>