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                               </w:t>
      </w:r>
    </w:p>
    <w:p>
      <w:pPr>
        <w:jc w:val="center"/>
        <w:rPr>
          <w:rFonts w:hint="eastAsia" w:ascii="黑体" w:hAnsi="黑体" w:eastAsia="黑体" w:cs="宋体"/>
          <w:b/>
          <w:bCs/>
          <w:kern w:val="0"/>
          <w:sz w:val="36"/>
          <w:szCs w:val="24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24"/>
          <w:lang w:val="en-US" w:eastAsia="zh-CN" w:bidi="ar-SA"/>
        </w:rPr>
        <w:t>川银系列“美日利”人民币理财产品季度报告</w:t>
      </w:r>
    </w:p>
    <w:p>
      <w:pPr>
        <w:jc w:val="center"/>
        <w:rPr>
          <w:rFonts w:hint="eastAsia" w:ascii="黑体" w:hAnsi="黑体" w:eastAsia="黑体" w:cs="宋体"/>
          <w:b/>
          <w:bCs/>
          <w:kern w:val="0"/>
          <w:sz w:val="36"/>
          <w:szCs w:val="24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24"/>
          <w:lang w:val="en-US" w:eastAsia="zh-CN" w:bidi="ar-SA"/>
        </w:rPr>
        <w:t>2021年7月1日-2021年9月30日</w:t>
      </w:r>
    </w:p>
    <w:p>
      <w:pPr>
        <w:rPr>
          <w:rFonts w:hint="eastAsia"/>
        </w:rPr>
      </w:pPr>
      <w:r>
        <w:rPr>
          <w:rFonts w:hint="eastAsia"/>
        </w:rPr>
        <w:t xml:space="preserve">  </w:t>
      </w:r>
    </w:p>
    <w:p>
      <w:pPr>
        <w:rPr>
          <w:rFonts w:hint="eastAsia"/>
        </w:rPr>
      </w:pPr>
      <w:r>
        <w:rPr>
          <w:rFonts w:hint="eastAsia"/>
        </w:rPr>
        <w:t xml:space="preserve">  </w:t>
      </w:r>
    </w:p>
    <w:p>
      <w:pP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>§1  重要提示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产品管理人保证本报告所载资料不存在虚假记载、误导性陈述或重大遗漏，并对其内容的真实性、准确性和完整性承担个别及连带责任。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产品托管人中国工商银行股份有限公司，已复核了本报告中的财务指标、净值表现和投资组合报告等内容，保证复核内容不存在虚假记载、误导性陈述或者重大遗漏。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本报告中财务资料未经审计。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本报告期自起2021年7月1日至2021年9月30日止。   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 xml:space="preserve">§2  产品概况 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/>
        </w:rPr>
      </w:pPr>
      <w:r>
        <w:rPr>
          <w:rFonts w:hint="eastAsia"/>
        </w:rPr>
        <w:t xml:space="preserve">  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2"/>
        <w:tblW w:w="8966" w:type="dxa"/>
        <w:tblInd w:w="-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70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867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产品名称</w:t>
            </w:r>
          </w:p>
        </w:tc>
        <w:tc>
          <w:tcPr>
            <w:tcW w:w="7099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川银系列“美日利”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人民币理财产品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产品登记编码</w:t>
            </w:r>
          </w:p>
        </w:tc>
        <w:tc>
          <w:tcPr>
            <w:tcW w:w="709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C1079020000071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产品类型</w:t>
            </w:r>
          </w:p>
        </w:tc>
        <w:tc>
          <w:tcPr>
            <w:tcW w:w="709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  <w:t>净值型理财产品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报告期末产品存续规模（份）</w:t>
            </w:r>
          </w:p>
        </w:tc>
        <w:tc>
          <w:tcPr>
            <w:tcW w:w="709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1,660,221,497.73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收益类型</w:t>
            </w:r>
          </w:p>
        </w:tc>
        <w:tc>
          <w:tcPr>
            <w:tcW w:w="709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非保本浮动收益型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发行方式</w:t>
            </w:r>
          </w:p>
        </w:tc>
        <w:tc>
          <w:tcPr>
            <w:tcW w:w="709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公募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投资范围</w:t>
            </w:r>
          </w:p>
        </w:tc>
        <w:tc>
          <w:tcPr>
            <w:tcW w:w="709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spacing w:before="199" w:after="199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本产品资金投于现金类、 货币市场工具、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  <w:t>货币基金等高流动性资产比例为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10%-90%,评级AA（含）以上的各种债券、收益凭证、资产支持证券、资产管理计划等比例为10%-90%，以上投资比例可在正负10%范围区间内波动。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产品成立日</w:t>
            </w:r>
          </w:p>
        </w:tc>
        <w:tc>
          <w:tcPr>
            <w:tcW w:w="709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2020年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 xml:space="preserve">月3日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产品终止日</w:t>
            </w:r>
          </w:p>
        </w:tc>
        <w:tc>
          <w:tcPr>
            <w:tcW w:w="709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119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杠杆水平</w:t>
            </w:r>
          </w:p>
        </w:tc>
        <w:tc>
          <w:tcPr>
            <w:tcW w:w="709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100.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21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风险等级</w:t>
            </w:r>
          </w:p>
        </w:tc>
        <w:tc>
          <w:tcPr>
            <w:tcW w:w="709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1级：低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产品管理人</w:t>
            </w:r>
          </w:p>
        </w:tc>
        <w:tc>
          <w:tcPr>
            <w:tcW w:w="709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四川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产品托管人</w:t>
            </w:r>
          </w:p>
        </w:tc>
        <w:tc>
          <w:tcPr>
            <w:tcW w:w="7099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中国工商银行股份有限公司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>§3  产品业绩表现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单位：人民币元 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tbl>
      <w:tblPr>
        <w:tblStyle w:val="2"/>
        <w:tblW w:w="0" w:type="auto"/>
        <w:tblInd w:w="-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5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080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主要财务指标</w:t>
            </w:r>
          </w:p>
        </w:tc>
        <w:tc>
          <w:tcPr>
            <w:tcW w:w="589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报告期（2021年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月1日至2021年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月3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1.期末产品资产净值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1,660,221,497.73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2.期末产品份额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1,660,221,497.73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i w:val="0"/>
                <w:color w:val="000000"/>
                <w:sz w:val="24"/>
                <w:szCs w:val="22"/>
                <w:lang w:val="en-US" w:eastAsia="zh-CN"/>
              </w:rPr>
              <w:t>3.期末产品份额净值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1.0000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报告期内保持对市场的密切关注，运用多种方式为客户创造收益，季度末产品基金单位当日收益为</w:t>
      </w:r>
      <w:r>
        <w:rPr>
          <w:rFonts w:hint="eastAsia" w:ascii="仿宋" w:hAnsi="仿宋" w:eastAsia="仿宋"/>
          <w:b w:val="0"/>
          <w:i w:val="0"/>
          <w:color w:val="000000"/>
          <w:sz w:val="24"/>
          <w:lang w:val="en-US" w:eastAsia="zh-CN"/>
        </w:rPr>
        <w:t>0.9118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，七日年化为3.1026。      </w:t>
      </w:r>
    </w:p>
    <w:p>
      <w:pP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 xml:space="preserve">§4  产品投资策略和运作分析 </w:t>
      </w:r>
    </w:p>
    <w:p>
      <w:pP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>4.1 报告期内产品投资策略和运作分析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产品设立严格符合资管新规要求，投资策略为持有到期。产品自2020年9月成立以来，累计管理规模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1,660,221,497.73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元，截止2021年9月30日，净值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1,660,221,497.73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 </w:t>
      </w:r>
    </w:p>
    <w:p>
      <w:pP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>4.2报告期内产品主要投资风险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>
      <w:pP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> 4.3产品流动性风险分析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 xml:space="preserve">本产品流动性风险整体可控，所配置的资产剩余期限短于或等于产品期限，截止报告日未采用杠杆融资策略。 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>§5 投资组合报告 </w:t>
      </w:r>
    </w:p>
    <w:p>
      <w:pP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 xml:space="preserve">5.1 产品投资资产种类 </w:t>
      </w:r>
    </w:p>
    <w:p>
      <w:pP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> </w:t>
      </w:r>
    </w:p>
    <w:tbl>
      <w:tblPr>
        <w:tblStyle w:val="2"/>
        <w:tblW w:w="0" w:type="auto"/>
        <w:tblInd w:w="-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3320"/>
        <w:gridCol w:w="2919"/>
        <w:gridCol w:w="2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序号</w:t>
            </w:r>
          </w:p>
        </w:tc>
        <w:tc>
          <w:tcPr>
            <w:tcW w:w="332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项目</w:t>
            </w:r>
          </w:p>
        </w:tc>
        <w:tc>
          <w:tcPr>
            <w:tcW w:w="2919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面值(元)</w:t>
            </w:r>
          </w:p>
        </w:tc>
        <w:tc>
          <w:tcPr>
            <w:tcW w:w="2385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占组合资产比例(%)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righ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1"/>
              </w:numPr>
              <w:bidi w:val="0"/>
              <w:ind w:left="720" w:leftChars="0" w:hanging="360" w:firstLineChars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固定收益投资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1,048,432,955.60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62.92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righ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3"/>
              </w:numPr>
              <w:bidi w:val="0"/>
              <w:ind w:left="720" w:leftChars="0" w:hanging="360" w:firstLineChars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 xml:space="preserve">  其中：债券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1,048,432,955.60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62.92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righ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4"/>
              </w:numPr>
              <w:bidi w:val="0"/>
              <w:ind w:left="720" w:leftChars="0" w:hanging="360" w:firstLineChars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 xml:space="preserve">  资产支持证券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righ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权益投资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righ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5"/>
              </w:numPr>
              <w:bidi w:val="0"/>
              <w:ind w:left="720" w:leftChars="0" w:hanging="360" w:firstLineChars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 xml:space="preserve">  其中：股票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righ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6"/>
              </w:numPr>
              <w:bidi w:val="0"/>
              <w:ind w:left="720" w:leftChars="0" w:hanging="360" w:firstLineChars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基金投资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righ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7"/>
              </w:numPr>
              <w:bidi w:val="0"/>
              <w:ind w:left="720" w:leftChars="0" w:hanging="360" w:firstLineChars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信托投资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righ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8"/>
              </w:numPr>
              <w:bidi w:val="0"/>
              <w:ind w:left="720" w:leftChars="0" w:hanging="360" w:firstLineChars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金融衍生品投资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righ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9"/>
              </w:numPr>
              <w:bidi w:val="0"/>
              <w:ind w:left="720" w:leftChars="0" w:hanging="360" w:firstLineChars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460,000,920.00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27.61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righ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10"/>
              </w:numPr>
              <w:bidi w:val="0"/>
              <w:ind w:left="720" w:leftChars="0" w:hanging="360" w:firstLineChars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 xml:space="preserve">  其中：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  <w:t>质押式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回购的买入返售金融资产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460,000,920.00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27.61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righ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11"/>
              </w:numPr>
              <w:bidi w:val="0"/>
              <w:ind w:left="720" w:leftChars="0" w:hanging="360" w:firstLineChars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137,833,582.80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8.27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righ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12"/>
              </w:numPr>
              <w:bidi w:val="0"/>
              <w:ind w:left="720" w:leftChars="0" w:hanging="360" w:firstLineChars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其他资产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19,977,930.62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1.20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/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总计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1,666,245,389.02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100.00</w:t>
            </w:r>
          </w:p>
        </w:tc>
      </w:tr>
    </w:tbl>
    <w:p>
      <w:pP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>5.2 前十大资产持仓情况</w:t>
      </w:r>
    </w:p>
    <w:p>
      <w:pPr>
        <w:rPr>
          <w:rFonts w:hint="eastAsia"/>
        </w:rPr>
      </w:pPr>
    </w:p>
    <w:tbl>
      <w:tblPr>
        <w:tblStyle w:val="2"/>
        <w:tblW w:w="0" w:type="auto"/>
        <w:tblInd w:w="-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3320"/>
        <w:gridCol w:w="2919"/>
        <w:gridCol w:w="2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序号</w:t>
            </w:r>
          </w:p>
        </w:tc>
        <w:tc>
          <w:tcPr>
            <w:tcW w:w="332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资产名称</w:t>
            </w:r>
          </w:p>
        </w:tc>
        <w:tc>
          <w:tcPr>
            <w:tcW w:w="2919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资产面值(元)</w:t>
            </w:r>
          </w:p>
        </w:tc>
        <w:tc>
          <w:tcPr>
            <w:tcW w:w="2385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占比（%）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21天投Y2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150,000,000.00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9.03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21攀国投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default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6.02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21自高债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6.02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21上海银行CD167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6.02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21自贡城投SCP001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100,000,000.00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6.02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21川发资管PPN001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80,000,000.00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4.82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21长沙银行CD205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60,000,000.00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21东方电气MTN002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60,000,000.00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21成都农商银行CD200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60,000,000.00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3.61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center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21广元01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60,000,000.00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numPr>
                <w:ilvl w:val="0"/>
                <w:numId w:val="2"/>
              </w:numPr>
              <w:bidi w:val="0"/>
              <w:ind w:left="720" w:leftChars="0" w:hanging="360" w:firstLineChars="0"/>
              <w:jc w:val="left"/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3.61</w:t>
            </w:r>
          </w:p>
        </w:tc>
      </w:tr>
    </w:tbl>
    <w:p>
      <w:pPr>
        <w:rPr>
          <w:rFonts w:hint="eastAsia"/>
        </w:rPr>
      </w:pPr>
    </w:p>
    <w:p>
      <w:pPr>
        <w:rPr>
          <w:rFonts w:hint="default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color w:val="000000"/>
          <w:kern w:val="0"/>
          <w:sz w:val="24"/>
          <w:szCs w:val="24"/>
          <w:lang w:val="en-US" w:eastAsia="zh-CN" w:bidi="ar-SA"/>
        </w:rPr>
        <w:t>§6  关联交易情况说明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本报告期末，本产品投资的“2021年攀枝花市国有投资(集团)有限责任公司公司债券”（简称“21攀国投”）、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“四川发展资产管理有限公司2021年度第一期定向债务融资工具”（简称“21川发资管PPN001”）、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“成都天府新区投资集团有限公司2021年公开发行可续期公司债券(面向合格投资者)(第一期)”（简称“21天投Y2”）属于关联交易。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spacing w:after="240"/>
        <w:jc w:val="both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§7</w:t>
      </w:r>
      <w:r>
        <w:rPr>
          <w:rFonts w:ascii="宋体" w:hAnsi="宋体" w:cs="宋体"/>
          <w:b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  <w:szCs w:val="24"/>
        </w:rPr>
        <w:t>影响投资者决策的其他重要信息</w:t>
      </w:r>
    </w:p>
    <w:p>
      <w:pPr>
        <w:widowControl/>
        <w:spacing w:after="240"/>
        <w:jc w:val="left"/>
        <w:rPr>
          <w:rFonts w:asci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7</w:t>
      </w:r>
      <w:r>
        <w:rPr>
          <w:rFonts w:ascii="宋体" w:hAnsi="宋体" w:cs="宋体"/>
          <w:b/>
          <w:kern w:val="0"/>
          <w:sz w:val="24"/>
          <w:szCs w:val="24"/>
        </w:rPr>
        <w:t xml:space="preserve">.1 </w:t>
      </w:r>
      <w:r>
        <w:rPr>
          <w:rFonts w:hint="eastAsia" w:ascii="宋体" w:hAnsi="宋体" w:cs="宋体"/>
          <w:b/>
          <w:kern w:val="0"/>
          <w:sz w:val="24"/>
          <w:szCs w:val="24"/>
        </w:rPr>
        <w:t>影响投资者决策的其他重要信息</w:t>
      </w:r>
    </w:p>
    <w:p>
      <w:pPr>
        <w:widowControl/>
        <w:spacing w:after="24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无。</w:t>
      </w:r>
    </w:p>
    <w:p>
      <w:pPr>
        <w:widowControl/>
        <w:spacing w:after="240"/>
        <w:jc w:val="left"/>
        <w:rPr>
          <w:rFonts w:ascii="宋体" w:cs="宋体"/>
          <w:kern w:val="0"/>
          <w:sz w:val="24"/>
          <w:szCs w:val="24"/>
        </w:rPr>
      </w:pPr>
    </w:p>
    <w:p>
      <w:pPr>
        <w:widowControl/>
        <w:spacing w:after="240"/>
        <w:jc w:val="left"/>
        <w:rPr>
          <w:rFonts w:asci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7</w:t>
      </w:r>
      <w:r>
        <w:rPr>
          <w:rFonts w:ascii="宋体" w:hAnsi="宋体" w:cs="宋体"/>
          <w:b/>
          <w:kern w:val="0"/>
          <w:sz w:val="24"/>
          <w:szCs w:val="24"/>
        </w:rPr>
        <w:t>.2</w:t>
      </w:r>
      <w:r>
        <w:rPr>
          <w:rFonts w:hint="eastAsia" w:ascii="宋体" w:hAnsi="宋体" w:cs="宋体"/>
          <w:b/>
          <w:kern w:val="0"/>
          <w:sz w:val="24"/>
          <w:szCs w:val="24"/>
        </w:rPr>
        <w:t>其他事项。</w:t>
      </w:r>
    </w:p>
    <w:p>
      <w:pPr>
        <w:widowControl/>
        <w:spacing w:after="240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无。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  </w:t>
      </w:r>
    </w:p>
    <w:p>
      <w:pPr>
        <w:rPr>
          <w:rFonts w:hint="eastAsia"/>
        </w:rPr>
      </w:pPr>
      <w:r>
        <w:rPr>
          <w:rFonts w:hint="eastAsia"/>
        </w:rPr>
        <w:t xml:space="preserve">  </w:t>
      </w:r>
    </w:p>
    <w:p>
      <w:r>
        <w:rPr>
          <w:rFonts w:hint="eastAsia"/>
        </w:rPr>
        <w:t xml:space="preserve">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02A4E"/>
    <w:rsid w:val="0C2E3726"/>
    <w:rsid w:val="37462098"/>
    <w:rsid w:val="3B657219"/>
    <w:rsid w:val="434347B2"/>
    <w:rsid w:val="4B303C58"/>
    <w:rsid w:val="51902A4E"/>
    <w:rsid w:val="608D227C"/>
    <w:rsid w:val="61402072"/>
    <w:rsid w:val="7C5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azhangjie"/>
    <w:basedOn w:val="1"/>
    <w:qFormat/>
    <w:uiPriority w:val="0"/>
    <w:pPr>
      <w:widowControl/>
      <w:autoSpaceDE w:val="0"/>
      <w:autoSpaceDN w:val="0"/>
      <w:adjustRightInd w:val="0"/>
      <w:spacing w:before="30" w:line="288" w:lineRule="auto"/>
      <w:ind w:left="15"/>
      <w:jc w:val="center"/>
      <w:outlineLvl w:val="0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biaoge_left"/>
    <w:basedOn w:val="1"/>
    <w:qFormat/>
    <w:uiPriority w:val="0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2021-07-26T08:50:00Z</dcterms:created>
  <dc:creator>苏晓雅</dc:creator>
  <cp:lastModifiedBy>苏晓雅</cp:lastModifiedBy>
  <dcterms:modified xsi:type="dcterms:W3CDTF">2021-10-25T01:37:14Z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CB40ABE83AD94E27902697A382145579</vt:lpwstr>
  </property>
</Properties>
</file>