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四川银行定开系列6个月3号净值型理财产品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2022年第1季度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自2022-01-01起2022-03-31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四川银行定开系列6个月3号净值型理财产品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2021-12-07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34,284,000.00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[3.8%-4.2%]/年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2022-03-31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1.26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284,632.96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338,600.85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34,717,552.85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bookmarkStart w:id="3" w:name="_Hlk29928922"/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1.0126</w:t>
            </w:r>
          </w:p>
        </w:tc>
      </w:tr>
      <w:bookmarkEnd w:id="3"/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30,073,112.32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30,073,112.32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3,001,598.78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1,812,148.79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10,726.52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34,897,586.41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本产品主要投资范围为标准化资产，并保有一定流动性储备，整体流动性风险可控。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本产品通过额度控制、事前预测、募集资金、正回购及变现高流动性资产的方式应对流动性风险。具体包括：一是跟踪资金申购赎回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情况，提前备付流动资金；二是根据产品的期限，合理安排投资资产剩余期限，预防流动性风险；三是产品持有一定比例的高流动性资产，赎回期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前</w:t>
      </w:r>
      <w:r>
        <w:rPr>
          <w:rFonts w:hint="eastAsia" w:ascii="宋体" w:hAnsi="宋体"/>
          <w:szCs w:val="21"/>
        </w:rPr>
        <w:t>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21金财01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3,382,355.34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3,158,441.37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3,019,278.08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3,011,297.26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GC014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3,001,598.78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22自贡城投SCP001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3,001,154.79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22重庆银行CD033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2,998,178.81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22上海银行CD056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2,996,023.94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16临川债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2,294,636.16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21东坡01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2,099,273.97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4" w:name="OLE_LINK6"/>
            <w:bookmarkStart w:id="5" w:name="OLE_LINK5"/>
            <w:r>
              <w:rPr>
                <w:rFonts w:ascii="宋体" w:hAnsi="宋体"/>
              </w:rPr>
              <w:t>6.05</w:t>
            </w:r>
            <w:bookmarkEnd w:id="4"/>
            <w:bookmarkEnd w:id="5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产品投资无关联交易情况</w:t>
      </w:r>
      <w:bookmarkStart w:id="6" w:name="_GoBack"/>
      <w:bookmarkEnd w:id="6"/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2022-04-15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5CD10ED"/>
    <w:rsid w:val="2CE56226"/>
    <w:rsid w:val="2F3A381B"/>
    <w:rsid w:val="766733E6"/>
    <w:rsid w:val="7C5A6B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1192</Words>
  <Characters>1671</Characters>
  <Lines>13</Lines>
  <Paragraphs>3</Paragraphs>
  <TotalTime>2</TotalTime>
  <ScaleCrop>false</ScaleCrop>
  <LinksUpToDate>false</LinksUpToDate>
  <CharactersWithSpaces>1726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2022-04-12T08:34:15Z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7D7F3A96C9BD443C8D920F67DFFCA2A0</vt:lpwstr>
  </property>
</Properties>
</file>