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widowControl/>
        <w:jc w:val="center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四川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银行20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年理财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业务半年</w:t>
      </w:r>
    </w:p>
    <w:p>
      <w:pPr>
        <w:widowControl/>
        <w:ind w:firstLine="640" w:firstLineChars="200"/>
        <w:jc w:val="left"/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2022年1-6月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，理财业务整体平稳运行。报告期为202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月1日至202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运行情况公告如下：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一、理财业务总体运行情况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报告期内四川银行共发行成立理财产品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净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募集资金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27.91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到期理财产品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期，合计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30.58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截至202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月末，全行理财产品余额为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96.51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亿元。具体分类如下：</w:t>
      </w:r>
    </w:p>
    <w:tbl>
      <w:tblPr>
        <w:tblStyle w:val="2"/>
        <w:tblW w:w="64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311"/>
        <w:gridCol w:w="900"/>
        <w:gridCol w:w="1136"/>
        <w:gridCol w:w="985"/>
        <w:gridCol w:w="1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239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发行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>数量</w:t>
            </w:r>
          </w:p>
        </w:tc>
        <w:tc>
          <w:tcPr>
            <w:tcW w:w="11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净募集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>金额(亿元)</w:t>
            </w:r>
          </w:p>
        </w:tc>
        <w:tc>
          <w:tcPr>
            <w:tcW w:w="9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到期数量</w:t>
            </w:r>
          </w:p>
        </w:tc>
        <w:tc>
          <w:tcPr>
            <w:tcW w:w="12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到期金额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>(亿元)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2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（固定收益类）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9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按募集方式划分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27.91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54</w:t>
            </w: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30.58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按产品收益划分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净值型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27.91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54</w:t>
            </w: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30.58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预期收益型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按运作模式划分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封闭式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3.93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54</w:t>
            </w: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30.58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开放式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23.98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 xml:space="preserve">                                                                               </w:t>
      </w:r>
    </w:p>
    <w:p>
      <w:pPr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期末存续理财产品情况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截至202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6月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末，我行存续理财产品共计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期，余额共计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96.51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亿元。具体分类及数据如下：</w:t>
      </w:r>
    </w:p>
    <w:tbl>
      <w:tblPr>
        <w:tblStyle w:val="2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380"/>
        <w:gridCol w:w="1560"/>
        <w:gridCol w:w="1457"/>
        <w:gridCol w:w="1520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25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存续数量（20211231）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余额(亿元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20211231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存续数量（20220630）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余额(亿元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20220630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按募集方式划分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68.33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96.51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按产品收益划分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净值型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68.33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96.51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预期收益型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按运作模式划分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封闭式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83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50.08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54.13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开放式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18.25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42.38</w:t>
            </w:r>
          </w:p>
        </w:tc>
      </w:tr>
    </w:tbl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三、 理财产品投资资产情况 </w:t>
      </w:r>
    </w:p>
    <w:p>
      <w:pPr>
        <w:ind w:left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1、期末投资资产情况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截至202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月末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我行理财产品底层资产投资标的主要包含：债券、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同业存单、</w:t>
      </w:r>
      <w:r>
        <w:rPr>
          <w:rFonts w:hint="eastAsia" w:ascii="仿宋_GB2312" w:hAnsi="仿宋" w:eastAsia="仿宋_GB2312"/>
          <w:sz w:val="32"/>
          <w:szCs w:val="32"/>
        </w:rPr>
        <w:t>交易所质押式逆回购、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非标准化债权资产</w:t>
      </w:r>
      <w:r>
        <w:rPr>
          <w:rFonts w:hint="eastAsia" w:ascii="仿宋_GB2312" w:hAnsi="仿宋" w:eastAsia="仿宋_GB2312"/>
          <w:sz w:val="32"/>
          <w:szCs w:val="32"/>
        </w:rPr>
        <w:t>等，具体分类及占比如下：</w:t>
      </w:r>
    </w:p>
    <w:tbl>
      <w:tblPr>
        <w:tblStyle w:val="2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533"/>
        <w:gridCol w:w="1701"/>
        <w:gridCol w:w="1612"/>
        <w:gridCol w:w="1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底层资产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月末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金额（亿元）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占比（%）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金额（亿元）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现金及银行存款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交易所质押式逆回购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11.86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同业存单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10.45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债券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63.62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基金资产管理计划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非标准化债权资产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widowControl/>
        <w:ind w:firstLine="643" w:firstLineChars="200"/>
        <w:jc w:val="left"/>
      </w:pPr>
      <w:r>
        <w:rPr>
          <w:rFonts w:hint="eastAsia" w:ascii="仿宋" w:hAnsi="仿宋" w:eastAsia="仿宋"/>
          <w:b/>
          <w:bCs/>
          <w:sz w:val="32"/>
          <w:szCs w:val="32"/>
        </w:rPr>
        <w:t>2、非标准化债权类资产情况</w:t>
      </w:r>
    </w:p>
    <w:p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截至202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月3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日,我行理财投资非标准化债权资产余额为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2.5亿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元。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63"/>
        <w:gridCol w:w="1191"/>
        <w:gridCol w:w="1603"/>
        <w:gridCol w:w="13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6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剩余融资期限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成都香城投资集团有限公司2022年度第一期理财直接融资工具</w:t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简称“22香城投资</w:t>
            </w: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01”，资产代码“22088204”</w:t>
            </w:r>
          </w:p>
        </w:tc>
        <w:tc>
          <w:tcPr>
            <w:tcW w:w="13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成都香城投资集团有限公司</w:t>
            </w:r>
          </w:p>
        </w:tc>
        <w:tc>
          <w:tcPr>
            <w:tcW w:w="119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240天</w:t>
            </w:r>
          </w:p>
        </w:tc>
        <w:tc>
          <w:tcPr>
            <w:tcW w:w="160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按季付息、到期还本</w:t>
            </w:r>
          </w:p>
        </w:tc>
        <w:tc>
          <w:tcPr>
            <w:tcW w:w="138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理财直接融资工具</w:t>
            </w:r>
          </w:p>
        </w:tc>
        <w:tc>
          <w:tcPr>
            <w:tcW w:w="11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正常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四、其他信息 </w:t>
      </w:r>
    </w:p>
    <w:p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根据《商业银行理财业务监督管理办法》（银保监令2018 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年第6号）披露要求，我行理财产品投资于关联方资产如下：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tbl>
      <w:tblPr>
        <w:tblStyle w:val="3"/>
        <w:tblW w:w="0" w:type="auto"/>
        <w:tblInd w:w="1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2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资产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58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20天信Y2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21攀国投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31"/>
                <w:szCs w:val="31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21天投Y2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auto"/>
                <w:kern w:val="0"/>
                <w:sz w:val="31"/>
                <w:szCs w:val="31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31"/>
                <w:szCs w:val="31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21川发资管PPN001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color w:val="auto"/>
                <w:kern w:val="0"/>
                <w:sz w:val="31"/>
                <w:szCs w:val="31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21川能投MTN002B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21攀枝花投PPN001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21攀枝城投MTN001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21眉天01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21眉府01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22凉山发展MTN001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170,000,000.00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highlight w:val="yellow"/>
          <w:lang w:bidi="ar"/>
        </w:rPr>
      </w:pPr>
    </w:p>
    <w:p>
      <w:pPr>
        <w:widowControl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四川银行股份有限公司 </w:t>
      </w:r>
    </w:p>
    <w:p>
      <w:pPr>
        <w:widowControl/>
        <w:jc w:val="right"/>
      </w:pP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3178B"/>
    <w:multiLevelType w:val="singleLevel"/>
    <w:tmpl w:val="D85317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mE5ZDJkNDJhNzAxZmZlNDY2YmZmZDczY2Q3ZGMifQ=="/>
  </w:docVars>
  <w:rsids>
    <w:rsidRoot w:val="7D585E88"/>
    <w:rsid w:val="000F4019"/>
    <w:rsid w:val="001E6268"/>
    <w:rsid w:val="00487416"/>
    <w:rsid w:val="007408A1"/>
    <w:rsid w:val="007E45D8"/>
    <w:rsid w:val="00816F92"/>
    <w:rsid w:val="00974096"/>
    <w:rsid w:val="009A6A7C"/>
    <w:rsid w:val="00EA3F20"/>
    <w:rsid w:val="02143A07"/>
    <w:rsid w:val="04A77240"/>
    <w:rsid w:val="07DB44F8"/>
    <w:rsid w:val="0AF116BB"/>
    <w:rsid w:val="0B4861C6"/>
    <w:rsid w:val="0CB04EC9"/>
    <w:rsid w:val="11F65B90"/>
    <w:rsid w:val="15EB56C3"/>
    <w:rsid w:val="1A0C58EF"/>
    <w:rsid w:val="20494FC9"/>
    <w:rsid w:val="23671F9E"/>
    <w:rsid w:val="23EB25CB"/>
    <w:rsid w:val="29134581"/>
    <w:rsid w:val="29655DE5"/>
    <w:rsid w:val="2B704D33"/>
    <w:rsid w:val="33DE629E"/>
    <w:rsid w:val="35E706E8"/>
    <w:rsid w:val="420D1ED6"/>
    <w:rsid w:val="422212D1"/>
    <w:rsid w:val="4256654E"/>
    <w:rsid w:val="458E5741"/>
    <w:rsid w:val="45A076EB"/>
    <w:rsid w:val="471809A4"/>
    <w:rsid w:val="485C47AC"/>
    <w:rsid w:val="4F947C8B"/>
    <w:rsid w:val="4FA32CAA"/>
    <w:rsid w:val="50417E6B"/>
    <w:rsid w:val="53291F4B"/>
    <w:rsid w:val="5354012A"/>
    <w:rsid w:val="5383403C"/>
    <w:rsid w:val="5A0D63A3"/>
    <w:rsid w:val="5C277537"/>
    <w:rsid w:val="6AD11706"/>
    <w:rsid w:val="6DB22A8A"/>
    <w:rsid w:val="7AC75812"/>
    <w:rsid w:val="7D5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9CB5-2A47-4208-93C8-7A763848E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844</Words>
  <Characters>1277</Characters>
  <Lines>9</Lines>
  <Paragraphs>2</Paragraphs>
  <TotalTime>0</TotalTime>
  <ScaleCrop>false</ScaleCrop>
  <LinksUpToDate>false</LinksUpToDate>
  <CharactersWithSpaces>1382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2021-02-26T02:49:00Z</dcterms:created>
  <dc:creator>苏晓雅</dc:creator>
  <cp:lastModifiedBy>苏晓雅</cp:lastModifiedBy>
  <dcterms:modified xsi:type="dcterms:W3CDTF">2022-08-29T01:43:18Z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138AC07D7A424849A80A04BFA36A81D5</vt:lpwstr>
  </property>
</Properties>
</file>