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rPr>
          <w:sz w:val="48"/>
        </w:rPr>
      </w:pPr>
    </w:p>
    <w:p>
      <w:pPr>
        <w:rPr>
          <w:sz w:val="48"/>
        </w:rPr>
      </w:pP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 xml:space="preserve">四川银行定开系列6个月5号净值型理财产品 </w:t>
      </w:r>
    </w:p>
    <w:p>
      <w:pPr>
        <w:jc w:val="center"/>
        <w:rPr>
          <w:rFonts w:ascii="宋体" w:hAnsi="宋体"/>
          <w:b/>
          <w:bCs/>
          <w:sz w:val="48"/>
          <w:szCs w:val="30"/>
        </w:rPr>
      </w:pPr>
      <w:r>
        <w:rPr>
          <w:rFonts w:ascii="宋体" w:hAnsi="宋体"/>
          <w:b/>
          <w:bCs/>
          <w:sz w:val="48"/>
          <w:szCs w:val="30"/>
        </w:rPr>
        <w:t>2022年半年度</w:t>
      </w:r>
      <w:r>
        <w:rPr>
          <w:rFonts w:hint="eastAsia" w:ascii="宋体" w:hAnsi="宋体"/>
          <w:b/>
          <w:bCs/>
          <w:sz w:val="48"/>
          <w:szCs w:val="30"/>
        </w:rPr>
        <w:t>报告</w:t>
      </w: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sz w:val="28"/>
          <w:szCs w:val="30"/>
        </w:rPr>
      </w:pP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产品管理人：四川银行股份有限公司</w:t>
      </w:r>
    </w:p>
    <w:p>
      <w:pPr>
        <w:ind w:firstLine="1687" w:firstLineChars="600"/>
        <w:jc w:val="left"/>
        <w:rPr>
          <w:rFonts w:ascii="宋体" w:hAnsi="宋体"/>
          <w:b/>
          <w:bCs/>
          <w:sz w:val="28"/>
          <w:szCs w:val="30"/>
        </w:rPr>
      </w:pPr>
      <w:r>
        <w:rPr>
          <w:rFonts w:ascii="宋体" w:hAnsi="宋体"/>
          <w:b/>
          <w:bCs/>
          <w:sz w:val="28"/>
          <w:szCs w:val="30"/>
        </w:rPr>
        <w:t>产品托管人：招商银行股份有限公司成都分行</w:t>
      </w: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ind w:firstLine="1680" w:firstLineChars="600"/>
        <w:jc w:val="left"/>
        <w:rPr>
          <w:rFonts w:ascii="宋体" w:hAnsi="宋体"/>
          <w:sz w:val="28"/>
          <w:szCs w:val="30"/>
        </w:rPr>
      </w:pPr>
    </w:p>
    <w:p>
      <w:pPr>
        <w:rPr>
          <w:rFonts w:ascii="宋体" w:hAnsi="宋体"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</w:p>
    <w:p>
      <w:pPr>
        <w:jc w:val="center"/>
        <w:rPr>
          <w:rFonts w:ascii="宋体" w:hAnsi="宋体"/>
          <w:b/>
          <w:bCs/>
          <w:sz w:val="28"/>
          <w:szCs w:val="30"/>
        </w:rPr>
      </w:pPr>
      <w:r>
        <w:rPr>
          <w:rFonts w:hint="eastAsia" w:ascii="宋体" w:hAnsi="宋体"/>
          <w:b/>
          <w:bCs/>
          <w:sz w:val="28"/>
          <w:szCs w:val="30"/>
        </w:rPr>
        <w:t>重要提示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产品托管人</w:t>
      </w:r>
      <w:r>
        <w:rPr>
          <w:rFonts w:ascii="宋体" w:hAnsi="宋体"/>
          <w:szCs w:val="21"/>
        </w:rPr>
        <w:t>招商银行股份有限公司成都分行</w:t>
      </w:r>
      <w:r>
        <w:rPr>
          <w:rFonts w:hint="eastAsia" w:ascii="宋体" w:hAnsi="宋体"/>
          <w:szCs w:val="21"/>
        </w:rPr>
        <w:t>根据《商业银行理财业务监督管理办法》规定，复核了本报告中的产品收益表现、主要财务指标、投资组合情况等内容，保证复核内容不存在虚假记载、误导性陈述或者重大遗漏。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产品管理人承诺以诚实信用、勤勉尽责的原则管理和运用理财资产，但不保证一定盈利。产品的过往业绩并不代表其未来表现。投资有风险，投资者在作出投资决策前应仔细阅读本产品的发行文件。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本报告中财务资料未经审计。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本</w:t>
      </w:r>
      <w:r>
        <w:rPr>
          <w:rFonts w:ascii="宋体" w:hAnsi="宋体"/>
          <w:szCs w:val="21"/>
        </w:rPr>
        <w:t>报告期</w:t>
      </w:r>
      <w:r>
        <w:rPr>
          <w:rFonts w:hint="eastAsia" w:ascii="宋体" w:hAnsi="宋体"/>
          <w:szCs w:val="21"/>
        </w:rPr>
        <w:t>自2022-01-01起2022-06-30</w:t>
      </w:r>
      <w:r>
        <w:rPr>
          <w:rFonts w:ascii="宋体" w:hAnsi="宋体"/>
          <w:szCs w:val="21"/>
        </w:rPr>
        <w:t>止。</w:t>
      </w:r>
    </w:p>
    <w:p>
      <w:pPr>
        <w:pStyle w:val="40"/>
      </w:pPr>
      <w:r>
        <w:rPr>
          <w:rFonts w:hint="eastAsia"/>
          <w:lang w:eastAsia="zh-CN"/>
        </w:rPr>
        <w:t>产品</w:t>
      </w:r>
      <w:r>
        <w:rPr>
          <w:rFonts w:hint="eastAsia"/>
        </w:rPr>
        <w:t>基本情况</w:t>
      </w:r>
      <w:r>
        <w:rPr>
          <w:rFonts w:hint="eastAsia"/>
          <w:lang w:eastAsia="zh-CN"/>
        </w:rPr>
        <w:t xml:space="preserve"> </w:t>
      </w:r>
    </w:p>
    <w:tbl>
      <w:tblPr>
        <w:tblStyle w:val="17"/>
        <w:tblW w:w="0" w:type="auto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</w:rPr>
              <w:t>信息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产品名称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四川银行定开系列6个月5号净值型理财产品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产品登记编码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C1438121000174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ind w:right="-107" w:rightChars="-51"/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产品管理人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四川银行股份有限公司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产品托管人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招商银行股份有限公司成都分行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产品运作方式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公募定期开放式净值型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产品成立日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2021-12-28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产品到期日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9999-12-31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1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报告期末产品份额总额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bookmarkStart w:id="0" w:name="OLE_LINK1"/>
            <w:r>
              <w:rPr>
                <w:rFonts w:hint="eastAsia" w:ascii="宋体" w:hAnsi="宋体"/>
              </w:rPr>
              <w:t>65,150,500.00</w:t>
            </w:r>
            <w:bookmarkEnd w:id="0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业绩比较基准（如有）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[3.</w:t>
            </w:r>
            <w:r>
              <w:rPr>
                <w:rFonts w:hint="eastAsia" w:ascii="宋体" w:hAnsi="宋体"/>
                <w:lang w:val="en-US" w:eastAsia="zh-CN"/>
              </w:rPr>
              <w:t>9</w:t>
            </w:r>
            <w:r>
              <w:rPr>
                <w:rFonts w:ascii="宋体" w:hAnsi="宋体"/>
              </w:rPr>
              <w:t>%-4.</w:t>
            </w:r>
            <w:r>
              <w:rPr>
                <w:rFonts w:hint="eastAsia" w:ascii="宋体" w:hAnsi="宋体"/>
                <w:lang w:val="en-US" w:eastAsia="zh-CN"/>
              </w:rPr>
              <w:t>1</w:t>
            </w:r>
            <w:r>
              <w:rPr>
                <w:rFonts w:ascii="宋体" w:hAnsi="宋体"/>
              </w:rPr>
              <w:t>%]/年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估值方法</w:t>
            </w:r>
          </w:p>
        </w:tc>
        <w:tc>
          <w:tcPr>
            <w:tcW w:w="5027" w:type="dxa"/>
            <w:vAlign w:val="center"/>
          </w:tcPr>
          <w:p>
            <w:pPr>
              <w:jc w:val="left"/>
              <w:rPr>
                <w:rFonts w:ascii="宋体" w:hAnsi="宋体"/>
              </w:rPr>
            </w:pPr>
            <w:r>
              <w:rPr>
                <w:rFonts w:ascii="宋体" w:hAnsi="宋体"/>
              </w:rPr>
              <w:t>市值法</w:t>
            </w:r>
          </w:p>
        </w:tc>
      </w:tr>
    </w:tbl>
    <w:p>
      <w:pPr>
        <w:pStyle w:val="40"/>
        <w:rPr>
          <w:lang w:eastAsia="zh-CN"/>
        </w:rPr>
      </w:pPr>
      <w:r>
        <w:rPr>
          <w:rFonts w:hint="eastAsia"/>
        </w:rPr>
        <w:t>产品</w:t>
      </w:r>
      <w:r>
        <w:rPr>
          <w:rFonts w:hint="eastAsia"/>
          <w:lang w:eastAsia="zh-CN"/>
        </w:rPr>
        <w:t>收益</w:t>
      </w:r>
      <w:r>
        <w:rPr>
          <w:rFonts w:hint="eastAsia"/>
        </w:rPr>
        <w:t>表现</w:t>
      </w:r>
    </w:p>
    <w:tbl>
      <w:tblPr>
        <w:tblStyle w:val="17"/>
        <w:tblW w:w="8956" w:type="dxa"/>
        <w:tblInd w:w="8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53"/>
        <w:gridCol w:w="510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6" w:hRule="atLeast"/>
        </w:trPr>
        <w:tc>
          <w:tcPr>
            <w:tcW w:w="385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阶段</w:t>
            </w:r>
          </w:p>
        </w:tc>
        <w:tc>
          <w:tcPr>
            <w:tcW w:w="5103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</w:rPr>
            </w:pPr>
            <w:r>
              <w:rPr>
                <w:rFonts w:hint="eastAsia"/>
                <w:b/>
              </w:rPr>
              <w:t>净值增长率（%）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当期（</w:t>
            </w:r>
            <w:r>
              <w:rPr>
                <w:rFonts w:ascii="宋体" w:hAnsi="宋体"/>
              </w:rPr>
              <w:t>2022-01-01</w:t>
            </w:r>
            <w:r>
              <w:rPr>
                <w:rFonts w:hint="eastAsia" w:ascii="宋体" w:hAnsi="宋体"/>
              </w:rPr>
              <w:t>至</w:t>
            </w:r>
            <w:r>
              <w:rPr>
                <w:rFonts w:ascii="宋体" w:hAnsi="宋体"/>
              </w:rPr>
              <w:t>2022-06-30</w:t>
            </w:r>
            <w:r>
              <w:rPr>
                <w:rFonts w:hint="eastAsia" w:ascii="宋体" w:hAnsi="宋体"/>
              </w:rPr>
              <w:t>）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1.98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3853" w:type="dxa"/>
            <w:vAlign w:val="center"/>
          </w:tcPr>
          <w:p>
            <w:pPr>
              <w:jc w:val="center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自产品成立日至今</w:t>
            </w:r>
          </w:p>
        </w:tc>
        <w:tc>
          <w:tcPr>
            <w:tcW w:w="5103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2.03</w:t>
            </w:r>
            <w:bookmarkStart w:id="1" w:name="OLE_LINK4"/>
            <w:bookmarkEnd w:id="1"/>
            <w:bookmarkStart w:id="2" w:name="OLE_LINK7"/>
            <w:bookmarkEnd w:id="2"/>
          </w:p>
        </w:tc>
      </w:tr>
    </w:tbl>
    <w:p>
      <w:pPr>
        <w:spacing w:line="360" w:lineRule="auto"/>
        <w:ind w:left="420" w:leftChars="200"/>
        <w:jc w:val="left"/>
        <w:rPr>
          <w:rFonts w:ascii="宋体" w:hAnsi="宋体"/>
          <w:sz w:val="24"/>
        </w:rPr>
      </w:pPr>
      <w:r>
        <w:rPr>
          <w:rFonts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主要财务指标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8865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38"/>
        <w:gridCol w:w="502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atLeast"/>
        </w:trPr>
        <w:tc>
          <w:tcPr>
            <w:tcW w:w="3838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5027" w:type="dxa"/>
            <w:shd w:val="clear" w:color="auto" w:fill="D9D9D9"/>
            <w:vAlign w:val="center"/>
          </w:tcPr>
          <w:p>
            <w:pPr>
              <w:jc w:val="left"/>
              <w:rPr>
                <w:b/>
              </w:rPr>
            </w:pPr>
            <w:r>
              <w:rPr>
                <w:b/>
              </w:rPr>
              <w:t>2022-01-01</w:t>
            </w:r>
            <w:r>
              <w:rPr>
                <w:rFonts w:hint="eastAsia"/>
                <w:b/>
              </w:rPr>
              <w:t xml:space="preserve">至 </w:t>
            </w:r>
            <w:r>
              <w:rPr>
                <w:b/>
              </w:rPr>
              <w:t>2022-06-30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本期已实现收益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524,071.67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本期利润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720,707.86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r>
              <w:rPr>
                <w:rFonts w:hint="eastAsia" w:ascii="宋体" w:hAnsi="宋体"/>
                <w:szCs w:val="21"/>
              </w:rPr>
              <w:t>期末产品资产净值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65,172,926.42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4" w:hRule="atLeast"/>
        </w:trPr>
        <w:tc>
          <w:tcPr>
            <w:tcW w:w="3838" w:type="dxa"/>
            <w:vAlign w:val="center"/>
          </w:tcPr>
          <w:p>
            <w:pPr>
              <w:rPr>
                <w:rFonts w:ascii="宋体" w:hAnsi="宋体"/>
              </w:rPr>
            </w:pPr>
            <w:bookmarkStart w:id="3" w:name="_Hlk29928922"/>
            <w:r>
              <w:rPr>
                <w:rFonts w:hint="eastAsia" w:ascii="宋体" w:hAnsi="宋体"/>
                <w:szCs w:val="21"/>
              </w:rPr>
              <w:t>期末产品份额净值</w:t>
            </w:r>
          </w:p>
        </w:tc>
        <w:tc>
          <w:tcPr>
            <w:tcW w:w="5027" w:type="dxa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1.0003</w:t>
            </w:r>
          </w:p>
        </w:tc>
      </w:tr>
      <w:bookmarkEnd w:id="3"/>
    </w:tbl>
    <w:p>
      <w:pPr>
        <w:tabs>
          <w:tab w:val="left" w:pos="3135"/>
        </w:tabs>
        <w:ind w:left="420" w:left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pStyle w:val="40"/>
      </w:pPr>
      <w:r>
        <w:rPr>
          <w:rFonts w:hint="eastAsia"/>
        </w:rPr>
        <w:t>投资组合情况</w:t>
      </w:r>
      <w:r>
        <w:rPr>
          <w:rFonts w:hint="eastAsia"/>
          <w:lang w:eastAsia="zh-CN"/>
        </w:rPr>
        <w:t>及</w:t>
      </w:r>
      <w:r>
        <w:rPr>
          <w:lang w:eastAsia="zh-CN"/>
        </w:rPr>
        <w:t>流动性风险分析</w:t>
      </w: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9"/>
        <w:keepNext/>
        <w:keepLines/>
        <w:numPr>
          <w:ilvl w:val="0"/>
          <w:numId w:val="2"/>
        </w:numPr>
        <w:spacing w:before="156" w:beforeLines="50" w:after="156" w:afterLines="50"/>
        <w:ind w:firstLineChars="0"/>
        <w:jc w:val="left"/>
        <w:outlineLvl w:val="1"/>
        <w:rPr>
          <w:rFonts w:ascii="Cambria" w:hAnsi="Cambria"/>
          <w:bCs/>
          <w:vanish/>
          <w:kern w:val="28"/>
          <w:sz w:val="24"/>
          <w:szCs w:val="32"/>
          <w:lang w:val="zh-CN" w:eastAsia="zh-CN"/>
        </w:rPr>
      </w:pPr>
    </w:p>
    <w:p>
      <w:pPr>
        <w:pStyle w:val="41"/>
        <w:spacing w:before="156" w:after="156"/>
      </w:pPr>
      <w:r>
        <w:rPr>
          <w:rFonts w:hint="eastAsia"/>
          <w:b w:val="0"/>
        </w:rPr>
        <w:t>期末资产组合情况</w:t>
      </w:r>
    </w:p>
    <w:p>
      <w:pPr>
        <w:rPr>
          <w:lang w:val="zh-CN" w:eastAsia="zh-CN"/>
        </w:rPr>
      </w:pPr>
    </w:p>
    <w:p>
      <w:pPr>
        <w:jc w:val="right"/>
      </w:pPr>
    </w:p>
    <w:p>
      <w:pPr>
        <w:jc w:val="right"/>
      </w:pPr>
    </w:p>
    <w:p>
      <w:pPr>
        <w:jc w:val="right"/>
      </w:pPr>
      <w:r>
        <w:rPr>
          <w:rFonts w:hint="eastAsia"/>
        </w:rPr>
        <w:t>金额单位：元</w:t>
      </w:r>
    </w:p>
    <w:tbl>
      <w:tblPr>
        <w:tblStyle w:val="17"/>
        <w:tblW w:w="886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1"/>
        <w:gridCol w:w="1447"/>
        <w:gridCol w:w="1697"/>
        <w:gridCol w:w="17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1447" w:type="dxa"/>
            <w:vMerge w:val="restart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项目</w:t>
            </w:r>
          </w:p>
        </w:tc>
        <w:tc>
          <w:tcPr>
            <w:tcW w:w="3446" w:type="dxa"/>
            <w:gridSpan w:val="2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直接</w:t>
            </w:r>
            <w:r>
              <w:rPr>
                <w:rFonts w:ascii="宋体" w:hAnsi="宋体"/>
                <w:b/>
                <w:szCs w:val="21"/>
              </w:rPr>
              <w:t>投资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611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447" w:type="dxa"/>
            <w:vMerge w:val="continue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69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1749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占产品总资产的比例（%）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1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权益投资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其中：普通股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存托凭证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2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基金投资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3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固定收益投资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34,402,700.29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52.75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其中：债券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34,402,700.29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52.75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资产支持证券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4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金融衍生品投资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其中：远期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期权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 xml:space="preserve">      权证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5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17,002,441.54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26.07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　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其中：买断式回购的买入返售金融资产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6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货币市场工具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7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银行存款和结算备付金合计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13,801,444.89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21.16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8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拆放同业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9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资管</w:t>
            </w:r>
            <w:r>
              <w:rPr>
                <w:rFonts w:ascii="宋体" w:hAnsi="宋体" w:cs="宋体"/>
                <w:kern w:val="0"/>
                <w:sz w:val="22"/>
                <w:szCs w:val="22"/>
              </w:rPr>
              <w:t>产品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ascii="宋体" w:hAnsi="宋体" w:cs="宋体"/>
                <w:kern w:val="0"/>
                <w:sz w:val="22"/>
                <w:szCs w:val="22"/>
              </w:rPr>
              <w:t>10</w:t>
            </w:r>
          </w:p>
        </w:tc>
        <w:tc>
          <w:tcPr>
            <w:tcW w:w="144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ascii="宋体" w:hAnsi="宋体" w:cs="宋体"/>
                <w:kern w:val="0"/>
                <w:sz w:val="22"/>
                <w:szCs w:val="22"/>
              </w:rPr>
            </w:pPr>
            <w:r>
              <w:rPr>
                <w:rFonts w:hint="eastAsia" w:ascii="宋体" w:hAnsi="宋体" w:cs="宋体"/>
                <w:kern w:val="0"/>
                <w:sz w:val="22"/>
                <w:szCs w:val="22"/>
              </w:rPr>
              <w:t>其他资产</w:t>
            </w:r>
          </w:p>
        </w:tc>
        <w:tc>
          <w:tcPr>
            <w:tcW w:w="1697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15,533.99</w:t>
            </w:r>
          </w:p>
        </w:tc>
        <w:tc>
          <w:tcPr>
            <w:tcW w:w="1749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0.02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611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1447" w:type="dxa"/>
            <w:shd w:val="clear" w:color="auto" w:fill="auto"/>
          </w:tcPr>
          <w:p>
            <w:pPr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合计</w:t>
            </w:r>
          </w:p>
        </w:tc>
        <w:tc>
          <w:tcPr>
            <w:tcW w:w="1697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65,222,120.71</w:t>
            </w:r>
          </w:p>
        </w:tc>
        <w:tc>
          <w:tcPr>
            <w:tcW w:w="1749" w:type="dxa"/>
            <w:shd w:val="clear" w:color="auto" w:fill="auto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100.00</w:t>
            </w:r>
          </w:p>
        </w:tc>
      </w:tr>
    </w:tbl>
    <w:p>
      <w:pPr>
        <w:ind w:left="420" w:leftChars="200"/>
        <w:jc w:val="left"/>
        <w:rPr>
          <w:rFonts w:ascii="宋体" w:hAnsi="宋体"/>
          <w:sz w:val="24"/>
        </w:rPr>
      </w:pPr>
    </w:p>
    <w:p>
      <w:pPr>
        <w:ind w:left="420" w:leftChars="200"/>
        <w:jc w:val="left"/>
        <w:rPr>
          <w:rFonts w:asciiTheme="minorEastAsia" w:hAnsiTheme="minorEastAsia" w:eastAsiaTheme="minorEastAsia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投资</w:t>
      </w:r>
      <w:r>
        <w:rPr>
          <w:b w:val="0"/>
        </w:rPr>
        <w:t>组合流动</w:t>
      </w:r>
      <w:r>
        <w:rPr>
          <w:rFonts w:hint="eastAsia"/>
          <w:b w:val="0"/>
          <w:lang w:eastAsia="zh-CN"/>
        </w:rPr>
        <w:t>性</w:t>
      </w:r>
      <w:r>
        <w:rPr>
          <w:b w:val="0"/>
        </w:rPr>
        <w:t>风险分析</w:t>
      </w:r>
    </w:p>
    <w:p>
      <w:pPr>
        <w:spacing w:line="360" w:lineRule="auto"/>
        <w:ind w:right="-107" w:rightChars="-51" w:firstLine="420" w:firstLineChars="200"/>
        <w:jc w:val="left"/>
        <w:rPr>
          <w:rFonts w:hint="default" w:ascii="宋体" w:hAnsi="宋体" w:eastAsia="宋体"/>
          <w:szCs w:val="21"/>
          <w:lang w:val="en-US" w:eastAsia="zh-CN"/>
        </w:rPr>
      </w:pPr>
      <w:r>
        <w:rPr>
          <w:rFonts w:hint="eastAsia" w:ascii="宋体" w:hAnsi="宋体"/>
          <w:szCs w:val="21"/>
          <w:lang w:val="en-US" w:eastAsia="zh-CN"/>
        </w:rPr>
        <w:t>本产品主要投资范围为标准化资产，并保有一定流动性储备，整体流动性风险可控。</w:t>
      </w:r>
    </w:p>
    <w:p>
      <w:pPr>
        <w:spacing w:line="360" w:lineRule="auto"/>
        <w:ind w:right="-107" w:rightChars="-51" w:firstLine="420" w:firstLineChars="200"/>
        <w:jc w:val="left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本产品通过额度控制、事前预测、募集资金、正回购及变现高流动性资产的方式应对流动性风险。具体包括：一是跟踪资金申购赎回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</w:rPr>
        <w:t>情况，提前备付流动资金；二是根据产品的期限，合理安排投资资产剩余期限，预防流动性风险；三是产品持有一定比例的高流动性资产，赎回期</w:t>
      </w:r>
      <w:r>
        <w:rPr>
          <w:rFonts w:hint="eastAsia" w:ascii="宋体" w:hAnsi="宋体"/>
          <w:szCs w:val="21"/>
          <w:lang w:eastAsia="zh-CN"/>
        </w:rPr>
        <w:t>（</w:t>
      </w:r>
      <w:r>
        <w:rPr>
          <w:rFonts w:hint="eastAsia" w:ascii="宋体" w:hAnsi="宋体"/>
          <w:szCs w:val="21"/>
          <w:lang w:val="en-US" w:eastAsia="zh-CN"/>
        </w:rPr>
        <w:t>或到期</w:t>
      </w:r>
      <w:r>
        <w:rPr>
          <w:rFonts w:hint="eastAsia" w:ascii="宋体" w:hAnsi="宋体"/>
          <w:szCs w:val="21"/>
          <w:lang w:eastAsia="zh-CN"/>
        </w:rPr>
        <w:t>）</w:t>
      </w:r>
      <w:r>
        <w:rPr>
          <w:rFonts w:hint="eastAsia" w:ascii="宋体" w:hAnsi="宋体"/>
          <w:szCs w:val="21"/>
          <w:lang w:val="en-US" w:eastAsia="zh-CN"/>
        </w:rPr>
        <w:t>前</w:t>
      </w:r>
      <w:r>
        <w:rPr>
          <w:rFonts w:hint="eastAsia" w:ascii="宋体" w:hAnsi="宋体"/>
          <w:szCs w:val="21"/>
        </w:rPr>
        <w:t>主要通过储备的流动性或卖出资产变现，满足产品的流动性需求。</w:t>
      </w:r>
    </w:p>
    <w:p>
      <w:pPr>
        <w:widowControl/>
        <w:jc w:val="left"/>
        <w:rPr>
          <w:rFonts w:ascii="宋体" w:hAnsi="宋体"/>
          <w:sz w:val="24"/>
        </w:rPr>
      </w:pPr>
    </w:p>
    <w:p>
      <w:pPr>
        <w:pStyle w:val="41"/>
        <w:spacing w:before="156" w:after="156"/>
        <w:rPr>
          <w:b w:val="0"/>
        </w:rPr>
      </w:pPr>
      <w:r>
        <w:rPr>
          <w:rFonts w:hint="eastAsia"/>
          <w:b w:val="0"/>
        </w:rPr>
        <w:t>报告期末占资产净值比例大小排序的前十项资产</w:t>
      </w:r>
      <w:r>
        <w:rPr>
          <w:b w:val="0"/>
        </w:rPr>
        <w:t>明细</w:t>
      </w:r>
    </w:p>
    <w:p>
      <w:pPr>
        <w:jc w:val="right"/>
        <w:rPr>
          <w:rFonts w:ascii="宋体" w:hAnsi="宋体"/>
        </w:rPr>
      </w:pPr>
      <w:r>
        <w:rPr>
          <w:rFonts w:hint="eastAsia" w:ascii="宋体" w:hAnsi="宋体"/>
        </w:rPr>
        <w:t>金额单位：元</w:t>
      </w:r>
    </w:p>
    <w:tbl>
      <w:tblPr>
        <w:tblStyle w:val="17"/>
        <w:tblW w:w="9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3159"/>
        <w:gridCol w:w="2693"/>
        <w:gridCol w:w="243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777" w:type="dxa"/>
            <w:shd w:val="clear" w:color="auto" w:fill="D9D9D9"/>
            <w:vAlign w:val="center"/>
          </w:tcPr>
          <w:p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序号</w:t>
            </w:r>
          </w:p>
        </w:tc>
        <w:tc>
          <w:tcPr>
            <w:tcW w:w="3159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资产名称</w:t>
            </w:r>
          </w:p>
        </w:tc>
        <w:tc>
          <w:tcPr>
            <w:tcW w:w="2693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金额</w:t>
            </w:r>
          </w:p>
        </w:tc>
        <w:tc>
          <w:tcPr>
            <w:tcW w:w="2431" w:type="dxa"/>
            <w:shd w:val="clear" w:color="auto" w:fill="D9D9D9"/>
            <w:vAlign w:val="center"/>
          </w:tcPr>
          <w:p>
            <w:pPr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占产品资产净值比例（%）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GC007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17,002,441.54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26.09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2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21东坡01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5,339,712.33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8.19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3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194799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5,000,452.06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4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22自贡高新MTN001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4,999,232.88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7.67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5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21邛崃01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3,281,286.30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5.03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6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21彭山01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3,239,847.95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4.97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7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21川振兴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3,062,556.16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4.70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22眉资01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3,023,646.58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4.64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9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22川菜01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3,014,490.41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4.63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7" w:type="dxa"/>
            <w:shd w:val="clear" w:color="auto" w:fill="auto"/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10</w:t>
            </w:r>
          </w:p>
        </w:tc>
        <w:tc>
          <w:tcPr>
            <w:tcW w:w="3159" w:type="dxa"/>
            <w:shd w:val="clear" w:color="auto" w:fill="auto"/>
            <w:vAlign w:val="center"/>
          </w:tcPr>
          <w:p>
            <w:pPr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19雅安01</w:t>
            </w:r>
          </w:p>
        </w:tc>
        <w:tc>
          <w:tcPr>
            <w:tcW w:w="2693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r>
              <w:rPr>
                <w:rFonts w:ascii="宋体" w:hAnsi="宋体"/>
              </w:rPr>
              <w:t>1,268,842.19</w:t>
            </w:r>
          </w:p>
        </w:tc>
        <w:tc>
          <w:tcPr>
            <w:tcW w:w="2431" w:type="dxa"/>
            <w:shd w:val="clear" w:color="auto" w:fill="auto"/>
            <w:vAlign w:val="center"/>
          </w:tcPr>
          <w:p>
            <w:pPr>
              <w:jc w:val="right"/>
              <w:rPr>
                <w:rFonts w:ascii="宋体" w:hAnsi="宋体"/>
              </w:rPr>
            </w:pPr>
            <w:bookmarkStart w:id="4" w:name="OLE_LINK5"/>
            <w:bookmarkStart w:id="5" w:name="OLE_LINK6"/>
            <w:r>
              <w:rPr>
                <w:rFonts w:ascii="宋体" w:hAnsi="宋体"/>
              </w:rPr>
              <w:t>1.95</w:t>
            </w:r>
            <w:bookmarkEnd w:id="4"/>
            <w:bookmarkEnd w:id="5"/>
          </w:p>
        </w:tc>
      </w:tr>
    </w:tbl>
    <w:p>
      <w:pPr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</w:t>
      </w:r>
    </w:p>
    <w:p>
      <w:pPr>
        <w:ind w:left="424" w:leftChars="202"/>
        <w:jc w:val="left"/>
        <w:rPr>
          <w:rFonts w:asciiTheme="minorEastAsia" w:hAnsiTheme="minorEastAsia" w:eastAsiaTheme="minorEastAsia"/>
          <w:szCs w:val="21"/>
        </w:rPr>
      </w:pPr>
      <w:r>
        <w:rPr>
          <w:rFonts w:hint="eastAsia" w:asciiTheme="minorEastAsia" w:hAnsiTheme="minorEastAsia" w:eastAsiaTheme="minorEastAsia"/>
          <w:szCs w:val="21"/>
        </w:rPr>
        <w:t>注：前十项资产明细仅包含证券投资、场外投资，不包含银行存款、存出保证金、清算备付金等资产。</w:t>
      </w:r>
    </w:p>
    <w:p>
      <w:pPr>
        <w:pStyle w:val="40"/>
      </w:pPr>
      <w:r>
        <w:t>托管人报告</w:t>
      </w:r>
    </w:p>
    <w:p>
      <w:pPr>
        <w:spacing w:line="360" w:lineRule="auto"/>
        <w:ind w:right="-107" w:rightChars="-51" w:firstLine="42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招商银行具备完善的公司治理结构、内部稽核监控制度和风险控制制度，我行在履行托管职责中，严格遵守有关法律法规、托管协议的规定，尽职尽责地履行托管义务并安全保管托管资产。</w:t>
      </w:r>
    </w:p>
    <w:p>
      <w:pPr>
        <w:pStyle w:val="40"/>
      </w:pPr>
      <w:r>
        <w:rPr>
          <w:rFonts w:hint="eastAsia"/>
          <w:lang w:val="en-US" w:eastAsia="zh-CN"/>
        </w:rPr>
        <w:t>关联交易情况说明</w:t>
      </w:r>
    </w:p>
    <w:p>
      <w:pPr>
        <w:spacing w:line="360" w:lineRule="auto"/>
        <w:ind w:right="-107" w:rightChars="-51" w:firstLine="480" w:firstLineChars="200"/>
        <w:jc w:val="left"/>
        <w:rPr>
          <w:rFonts w:ascii="宋体" w:hAnsi="宋体"/>
          <w:szCs w:val="21"/>
        </w:rPr>
      </w:pPr>
      <w:r>
        <w:rPr>
          <w:rFonts w:hint="eastAsia" w:ascii="宋体" w:hAnsi="宋体" w:cs="宋体"/>
          <w:kern w:val="0"/>
          <w:sz w:val="24"/>
          <w:szCs w:val="24"/>
        </w:rPr>
        <w:t>本报告期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末</w:t>
      </w:r>
      <w:r>
        <w:rPr>
          <w:rFonts w:hint="eastAsia" w:ascii="宋体" w:hAnsi="宋体" w:cs="宋体"/>
          <w:kern w:val="0"/>
          <w:sz w:val="24"/>
          <w:szCs w:val="24"/>
        </w:rPr>
        <w:t>，本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产品投资的21眉天01、22凉山发展MTN001</w:t>
      </w:r>
      <w:r>
        <w:rPr>
          <w:rFonts w:hint="eastAsia" w:ascii="宋体" w:hAnsi="宋体" w:cs="宋体"/>
          <w:kern w:val="0"/>
          <w:sz w:val="24"/>
          <w:szCs w:val="24"/>
          <w:lang w:val="en-US" w:eastAsia="zh-CN"/>
        </w:rPr>
        <w:t>属于关联交易</w:t>
      </w:r>
      <w:r>
        <w:rPr>
          <w:rFonts w:hint="eastAsia" w:ascii="宋体" w:hAnsi="宋体" w:cs="宋体"/>
          <w:kern w:val="0"/>
          <w:sz w:val="24"/>
          <w:szCs w:val="24"/>
        </w:rPr>
        <w:t>。</w:t>
      </w:r>
    </w:p>
    <w:p>
      <w:pPr>
        <w:pStyle w:val="40"/>
      </w:pPr>
      <w:r>
        <w:rPr>
          <w:rFonts w:hint="eastAsia"/>
          <w:lang w:val="en-US" w:eastAsia="zh-CN"/>
        </w:rPr>
        <w:t>影响投资者决策的其他重要信息</w:t>
      </w:r>
    </w:p>
    <w:p>
      <w:pPr>
        <w:jc w:val="left"/>
        <w:rPr>
          <w:rFonts w:hint="default" w:asciiTheme="minorEastAsia" w:hAnsiTheme="minorEastAsia" w:eastAsiaTheme="minorEastAsia"/>
          <w:szCs w:val="21"/>
          <w:lang w:val="en-US" w:eastAsia="zh-CN"/>
        </w:rPr>
      </w:pPr>
      <w:r>
        <w:rPr>
          <w:rFonts w:hint="eastAsia" w:asciiTheme="minorEastAsia" w:hAnsiTheme="minorEastAsia" w:eastAsiaTheme="minorEastAsia"/>
          <w:szCs w:val="21"/>
          <w:lang w:val="en-US" w:eastAsia="zh-CN"/>
        </w:rPr>
        <w:t xml:space="preserve">    无</w:t>
      </w: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left"/>
        <w:rPr>
          <w:rFonts w:asciiTheme="minorEastAsia" w:hAnsiTheme="minorEastAsia" w:eastAsiaTheme="minorEastAsia"/>
          <w:szCs w:val="21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4"/>
        </w:rPr>
      </w:pP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四川银行股份有限公司</w:t>
      </w:r>
    </w:p>
    <w:p>
      <w:pPr>
        <w:jc w:val="right"/>
        <w:rPr>
          <w:rFonts w:ascii="宋体" w:hAnsi="宋体"/>
          <w:sz w:val="28"/>
          <w:szCs w:val="28"/>
        </w:rPr>
      </w:pPr>
      <w:r>
        <w:rPr>
          <w:rFonts w:ascii="宋体" w:hAnsi="宋体"/>
          <w:sz w:val="28"/>
          <w:szCs w:val="28"/>
        </w:rPr>
        <w:t>2022-08-</w:t>
      </w:r>
      <w:r>
        <w:rPr>
          <w:rFonts w:hint="eastAsia" w:ascii="宋体" w:hAnsi="宋体"/>
          <w:sz w:val="28"/>
          <w:szCs w:val="28"/>
          <w:lang w:val="en-US" w:eastAsia="zh-CN"/>
        </w:rPr>
        <w:t>01</w:t>
      </w:r>
      <w:bookmarkStart w:id="6" w:name="_GoBack"/>
      <w:bookmarkEnd w:id="6"/>
      <w:r>
        <w:rPr>
          <w:rFonts w:hint="eastAsia" w:ascii="宋体" w:hAnsi="宋体"/>
          <w:sz w:val="28"/>
          <w:szCs w:val="28"/>
        </w:rPr>
        <w:t xml:space="preserve">                   </w:t>
      </w:r>
    </w:p>
    <w:sectPr>
      <w:footerReference r:id="rId3" w:type="default"/>
      <w:footerReference r:id="rId4" w:type="even"/>
      <w:pgSz w:w="11906" w:h="16838"/>
      <w:pgMar w:top="1440" w:right="1531" w:bottom="1134" w:left="1531" w:header="851" w:footer="992" w:gutter="0"/>
      <w:pgNumType w:fmt="decimal" w:start="1" w:chapSep="hyphen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  <w:rFonts w:hint="eastAsia"/>
      </w:rPr>
      <w:t xml:space="preserve"> </w:t>
    </w:r>
  </w:p>
  <w:p>
    <w:pPr>
      <w:pStyle w:val="10"/>
      <w:ind w:right="108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0"/>
      <w:framePr w:wrap="around" w:vAnchor="text" w:hAnchor="margin" w:xAlign="right"/>
      <w:rPr>
        <w:rStyle w:val="20"/>
      </w:rPr>
    </w:pPr>
    <w:r>
      <w:rPr>
        <w:rStyle w:val="20"/>
      </w:rPr>
      <w:fldChar w:fldCharType="begin"/>
    </w:r>
    <w:r>
      <w:rPr>
        <w:rStyle w:val="20"/>
      </w:rPr>
      <w:instrText xml:space="preserve">PAGE  </w:instrText>
    </w:r>
    <w:r>
      <w:rPr>
        <w:rStyle w:val="20"/>
      </w:rPr>
      <w:fldChar w:fldCharType="end"/>
    </w:r>
  </w:p>
  <w:p>
    <w:pPr>
      <w:pStyle w:val="10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47D73EE"/>
    <w:multiLevelType w:val="multilevel"/>
    <w:tmpl w:val="547D73EE"/>
    <w:lvl w:ilvl="0" w:tentative="0">
      <w:start w:val="1"/>
      <w:numFmt w:val="decimal"/>
      <w:lvlText w:val="%1、"/>
      <w:lvlJc w:val="left"/>
      <w:pPr>
        <w:ind w:left="420" w:hanging="420"/>
      </w:pPr>
      <w:rPr>
        <w:rFonts w:hint="eastAsia"/>
      </w:rPr>
    </w:lvl>
    <w:lvl w:ilvl="1" w:tentative="0">
      <w:start w:val="1"/>
      <w:numFmt w:val="decimal"/>
      <w:pStyle w:val="41"/>
      <w:suff w:val="space"/>
      <w:lvlText w:val="%1.%2"/>
      <w:lvlJc w:val="left"/>
      <w:pPr>
        <w:ind w:left="454" w:hanging="454"/>
      </w:pPr>
      <w:rPr>
        <w:rFonts w:hint="eastAsia"/>
      </w:rPr>
    </w:lvl>
    <w:lvl w:ilvl="2" w:tentative="0">
      <w:start w:val="1"/>
      <w:numFmt w:val="decimal"/>
      <w:pStyle w:val="42"/>
      <w:suff w:val="space"/>
      <w:lvlText w:val="%1.%2.%3"/>
      <w:lvlJc w:val="left"/>
      <w:pPr>
        <w:ind w:left="1050" w:hanging="624"/>
      </w:pPr>
      <w:rPr>
        <w:rFonts w:hint="eastAsia"/>
      </w:rPr>
    </w:lvl>
    <w:lvl w:ilvl="3" w:tentative="0">
      <w:start w:val="1"/>
      <w:numFmt w:val="decimal"/>
      <w:pStyle w:val="43"/>
      <w:suff w:val="space"/>
      <w:lvlText w:val="%1.%2.%3.%4"/>
      <w:lvlJc w:val="left"/>
      <w:pPr>
        <w:ind w:left="794" w:hanging="794"/>
      </w:pPr>
      <w:rPr>
        <w:rFonts w:hint="eastAsia"/>
      </w:rPr>
    </w:lvl>
    <w:lvl w:ilvl="4" w:tentative="0">
      <w:start w:val="1"/>
      <w:numFmt w:val="decimal"/>
      <w:pStyle w:val="44"/>
      <w:suff w:val="space"/>
      <w:lvlText w:val="%1.%2.%3.%4.%5"/>
      <w:lvlJc w:val="left"/>
      <w:pPr>
        <w:ind w:left="1021" w:hanging="1021"/>
      </w:pPr>
      <w:rPr>
        <w:rFonts w:hint="eastAsia"/>
      </w:rPr>
    </w:lvl>
    <w:lvl w:ilvl="5" w:tentative="0">
      <w:start w:val="1"/>
      <w:numFmt w:val="decimal"/>
      <w:pStyle w:val="45"/>
      <w:suff w:val="space"/>
      <w:lvlText w:val="%1.%2.%3.%4.%5.%6"/>
      <w:lvlJc w:val="left"/>
      <w:pPr>
        <w:ind w:left="1021" w:hanging="1021"/>
      </w:pPr>
      <w:rPr>
        <w:rFonts w:hint="eastAsia"/>
      </w:rPr>
    </w:lvl>
    <w:lvl w:ilvl="6" w:tentative="0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0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1">
    <w:nsid w:val="7E1B1D2A"/>
    <w:multiLevelType w:val="multilevel"/>
    <w:tmpl w:val="7E1B1D2A"/>
    <w:lvl w:ilvl="0" w:tentative="0">
      <w:start w:val="1"/>
      <w:numFmt w:val="decimal"/>
      <w:pStyle w:val="40"/>
      <w:lvlText w:val="%1、"/>
      <w:lvlJc w:val="left"/>
      <w:pPr>
        <w:ind w:left="420" w:hanging="420"/>
      </w:pPr>
      <w:rPr>
        <w:rFonts w:hint="eastAsia"/>
        <w:spacing w:val="-20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oNotDisplayPageBoundaries w:val="1"/>
  <w:bordersDoNotSurroundHeader w:val="1"/>
  <w:bordersDoNotSurroundFooter w:val="1"/>
  <w:attachedTemplate r:id="rId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ZDViNmE5ZDJkNDJhNzAxZmZlNDY2YmZmZDczY2Q3ZGMifQ=="/>
  </w:docVars>
  <w:rsids>
    <w:rsidRoot w:val="00172A27"/>
    <w:rsid w:val="00001A36"/>
    <w:rsid w:val="00011E30"/>
    <w:rsid w:val="00011E76"/>
    <w:rsid w:val="000167A6"/>
    <w:rsid w:val="00017B7D"/>
    <w:rsid w:val="000224FE"/>
    <w:rsid w:val="00024803"/>
    <w:rsid w:val="00024FA2"/>
    <w:rsid w:val="00025E0C"/>
    <w:rsid w:val="0002761E"/>
    <w:rsid w:val="00027C34"/>
    <w:rsid w:val="00035197"/>
    <w:rsid w:val="00036749"/>
    <w:rsid w:val="00036CDC"/>
    <w:rsid w:val="0003799B"/>
    <w:rsid w:val="00047F36"/>
    <w:rsid w:val="00055BE3"/>
    <w:rsid w:val="0006004E"/>
    <w:rsid w:val="0006022E"/>
    <w:rsid w:val="00062D58"/>
    <w:rsid w:val="000666E4"/>
    <w:rsid w:val="000739FE"/>
    <w:rsid w:val="00074396"/>
    <w:rsid w:val="000745C5"/>
    <w:rsid w:val="00074778"/>
    <w:rsid w:val="000811DB"/>
    <w:rsid w:val="00081814"/>
    <w:rsid w:val="000825DB"/>
    <w:rsid w:val="00083139"/>
    <w:rsid w:val="00084444"/>
    <w:rsid w:val="000954BC"/>
    <w:rsid w:val="000957D7"/>
    <w:rsid w:val="00096252"/>
    <w:rsid w:val="000A0247"/>
    <w:rsid w:val="000A1C35"/>
    <w:rsid w:val="000B049B"/>
    <w:rsid w:val="000B12F7"/>
    <w:rsid w:val="000B65EC"/>
    <w:rsid w:val="000C0357"/>
    <w:rsid w:val="000C5B47"/>
    <w:rsid w:val="000D078C"/>
    <w:rsid w:val="000D4CEA"/>
    <w:rsid w:val="000D5DDE"/>
    <w:rsid w:val="000E103E"/>
    <w:rsid w:val="000E2280"/>
    <w:rsid w:val="000E5BF4"/>
    <w:rsid w:val="000E7303"/>
    <w:rsid w:val="000E7594"/>
    <w:rsid w:val="000E7EE4"/>
    <w:rsid w:val="000F1CA3"/>
    <w:rsid w:val="000F1EB8"/>
    <w:rsid w:val="000F79B4"/>
    <w:rsid w:val="00123DCF"/>
    <w:rsid w:val="001241D2"/>
    <w:rsid w:val="00127EE5"/>
    <w:rsid w:val="00130058"/>
    <w:rsid w:val="001304CE"/>
    <w:rsid w:val="00130B97"/>
    <w:rsid w:val="00131F63"/>
    <w:rsid w:val="001321D3"/>
    <w:rsid w:val="001367E6"/>
    <w:rsid w:val="0013763A"/>
    <w:rsid w:val="00137F13"/>
    <w:rsid w:val="00142BF7"/>
    <w:rsid w:val="001438D5"/>
    <w:rsid w:val="001505C2"/>
    <w:rsid w:val="0015110C"/>
    <w:rsid w:val="0015418C"/>
    <w:rsid w:val="001546E3"/>
    <w:rsid w:val="00156CE7"/>
    <w:rsid w:val="001634F8"/>
    <w:rsid w:val="00172A27"/>
    <w:rsid w:val="00175535"/>
    <w:rsid w:val="0019201F"/>
    <w:rsid w:val="00196688"/>
    <w:rsid w:val="001A6A60"/>
    <w:rsid w:val="001A6DCE"/>
    <w:rsid w:val="001B0D81"/>
    <w:rsid w:val="001B2258"/>
    <w:rsid w:val="001B3575"/>
    <w:rsid w:val="001B43F0"/>
    <w:rsid w:val="001C4ACD"/>
    <w:rsid w:val="001C5999"/>
    <w:rsid w:val="001D364E"/>
    <w:rsid w:val="001E1A37"/>
    <w:rsid w:val="001E27AF"/>
    <w:rsid w:val="001E2A08"/>
    <w:rsid w:val="001E4B7A"/>
    <w:rsid w:val="001E7354"/>
    <w:rsid w:val="001E7E3E"/>
    <w:rsid w:val="001F28F0"/>
    <w:rsid w:val="001F4ADC"/>
    <w:rsid w:val="001F5BAE"/>
    <w:rsid w:val="001F7D68"/>
    <w:rsid w:val="00203F6A"/>
    <w:rsid w:val="00210223"/>
    <w:rsid w:val="0021036E"/>
    <w:rsid w:val="00212735"/>
    <w:rsid w:val="00212AC6"/>
    <w:rsid w:val="00217B81"/>
    <w:rsid w:val="00222DFB"/>
    <w:rsid w:val="00226962"/>
    <w:rsid w:val="00226D1D"/>
    <w:rsid w:val="00227C89"/>
    <w:rsid w:val="0024340D"/>
    <w:rsid w:val="00246E06"/>
    <w:rsid w:val="002520E6"/>
    <w:rsid w:val="00254241"/>
    <w:rsid w:val="002543ED"/>
    <w:rsid w:val="002550F8"/>
    <w:rsid w:val="00256F99"/>
    <w:rsid w:val="00261703"/>
    <w:rsid w:val="00265F21"/>
    <w:rsid w:val="002709E9"/>
    <w:rsid w:val="00285198"/>
    <w:rsid w:val="0028673C"/>
    <w:rsid w:val="00291837"/>
    <w:rsid w:val="00293CED"/>
    <w:rsid w:val="002A1060"/>
    <w:rsid w:val="002A6967"/>
    <w:rsid w:val="002B18D0"/>
    <w:rsid w:val="002B1BF7"/>
    <w:rsid w:val="002B2425"/>
    <w:rsid w:val="002B5C75"/>
    <w:rsid w:val="002B6AB0"/>
    <w:rsid w:val="002B6D92"/>
    <w:rsid w:val="002C0D52"/>
    <w:rsid w:val="002D3143"/>
    <w:rsid w:val="002D50E0"/>
    <w:rsid w:val="002D70F8"/>
    <w:rsid w:val="002E15C2"/>
    <w:rsid w:val="002E2A8D"/>
    <w:rsid w:val="002E366D"/>
    <w:rsid w:val="002E37D7"/>
    <w:rsid w:val="002E6930"/>
    <w:rsid w:val="002F1904"/>
    <w:rsid w:val="002F1EBF"/>
    <w:rsid w:val="002F244E"/>
    <w:rsid w:val="002F2A39"/>
    <w:rsid w:val="002F73B7"/>
    <w:rsid w:val="003017B8"/>
    <w:rsid w:val="00302E0B"/>
    <w:rsid w:val="0030728E"/>
    <w:rsid w:val="003170E3"/>
    <w:rsid w:val="003217E4"/>
    <w:rsid w:val="003245FC"/>
    <w:rsid w:val="003350C8"/>
    <w:rsid w:val="00336953"/>
    <w:rsid w:val="0034174F"/>
    <w:rsid w:val="00347E59"/>
    <w:rsid w:val="0035009E"/>
    <w:rsid w:val="00351099"/>
    <w:rsid w:val="00352670"/>
    <w:rsid w:val="0035379B"/>
    <w:rsid w:val="003545C4"/>
    <w:rsid w:val="00354AB0"/>
    <w:rsid w:val="00355F58"/>
    <w:rsid w:val="00362921"/>
    <w:rsid w:val="003629D6"/>
    <w:rsid w:val="0036621F"/>
    <w:rsid w:val="00370236"/>
    <w:rsid w:val="00370D1C"/>
    <w:rsid w:val="0037107A"/>
    <w:rsid w:val="0037163C"/>
    <w:rsid w:val="00372961"/>
    <w:rsid w:val="00373861"/>
    <w:rsid w:val="0037574C"/>
    <w:rsid w:val="00380B72"/>
    <w:rsid w:val="00386B5A"/>
    <w:rsid w:val="00391B1F"/>
    <w:rsid w:val="00392524"/>
    <w:rsid w:val="0039364C"/>
    <w:rsid w:val="00394EF9"/>
    <w:rsid w:val="00397112"/>
    <w:rsid w:val="00397200"/>
    <w:rsid w:val="003A0970"/>
    <w:rsid w:val="003A7C09"/>
    <w:rsid w:val="003B436D"/>
    <w:rsid w:val="003B7836"/>
    <w:rsid w:val="003C0A61"/>
    <w:rsid w:val="003C24AD"/>
    <w:rsid w:val="003C5071"/>
    <w:rsid w:val="003D0E86"/>
    <w:rsid w:val="003D15A3"/>
    <w:rsid w:val="003D39AE"/>
    <w:rsid w:val="003D4200"/>
    <w:rsid w:val="003D7D84"/>
    <w:rsid w:val="003E15D9"/>
    <w:rsid w:val="003E460E"/>
    <w:rsid w:val="003E7218"/>
    <w:rsid w:val="0040013A"/>
    <w:rsid w:val="0040127C"/>
    <w:rsid w:val="00415C27"/>
    <w:rsid w:val="004169FD"/>
    <w:rsid w:val="00420876"/>
    <w:rsid w:val="0042283D"/>
    <w:rsid w:val="004332EF"/>
    <w:rsid w:val="004405BC"/>
    <w:rsid w:val="0044179E"/>
    <w:rsid w:val="004422DD"/>
    <w:rsid w:val="00442C23"/>
    <w:rsid w:val="00442E16"/>
    <w:rsid w:val="0044354B"/>
    <w:rsid w:val="00444430"/>
    <w:rsid w:val="00445B1D"/>
    <w:rsid w:val="00445B84"/>
    <w:rsid w:val="00445B9F"/>
    <w:rsid w:val="00450537"/>
    <w:rsid w:val="00451D7B"/>
    <w:rsid w:val="0045697B"/>
    <w:rsid w:val="00457E70"/>
    <w:rsid w:val="0046347F"/>
    <w:rsid w:val="0046369D"/>
    <w:rsid w:val="00464A4B"/>
    <w:rsid w:val="00465827"/>
    <w:rsid w:val="00466631"/>
    <w:rsid w:val="00467018"/>
    <w:rsid w:val="0047019A"/>
    <w:rsid w:val="00475C49"/>
    <w:rsid w:val="00477FEC"/>
    <w:rsid w:val="00482F15"/>
    <w:rsid w:val="004864F2"/>
    <w:rsid w:val="00487E77"/>
    <w:rsid w:val="004925AF"/>
    <w:rsid w:val="00493D46"/>
    <w:rsid w:val="004976C7"/>
    <w:rsid w:val="00497AFF"/>
    <w:rsid w:val="004B6EF6"/>
    <w:rsid w:val="004C126D"/>
    <w:rsid w:val="004C2C74"/>
    <w:rsid w:val="004C439A"/>
    <w:rsid w:val="004C56A8"/>
    <w:rsid w:val="004C689C"/>
    <w:rsid w:val="004D2B6B"/>
    <w:rsid w:val="004D2D2A"/>
    <w:rsid w:val="004E2CFE"/>
    <w:rsid w:val="004E344E"/>
    <w:rsid w:val="004E4E80"/>
    <w:rsid w:val="004E53DD"/>
    <w:rsid w:val="004F50D0"/>
    <w:rsid w:val="004F55AB"/>
    <w:rsid w:val="004F5803"/>
    <w:rsid w:val="004F64A1"/>
    <w:rsid w:val="00500777"/>
    <w:rsid w:val="00501D92"/>
    <w:rsid w:val="00503B75"/>
    <w:rsid w:val="005066A6"/>
    <w:rsid w:val="00511DB9"/>
    <w:rsid w:val="00513688"/>
    <w:rsid w:val="00513763"/>
    <w:rsid w:val="00524F71"/>
    <w:rsid w:val="00527A49"/>
    <w:rsid w:val="005310A6"/>
    <w:rsid w:val="0053595B"/>
    <w:rsid w:val="00537901"/>
    <w:rsid w:val="00540DE6"/>
    <w:rsid w:val="00542A91"/>
    <w:rsid w:val="0054387B"/>
    <w:rsid w:val="005465B6"/>
    <w:rsid w:val="00554065"/>
    <w:rsid w:val="00555D8D"/>
    <w:rsid w:val="00560EAF"/>
    <w:rsid w:val="00572059"/>
    <w:rsid w:val="00573E83"/>
    <w:rsid w:val="005775FA"/>
    <w:rsid w:val="00583550"/>
    <w:rsid w:val="00591622"/>
    <w:rsid w:val="005947ED"/>
    <w:rsid w:val="00596277"/>
    <w:rsid w:val="005B6C71"/>
    <w:rsid w:val="005C208D"/>
    <w:rsid w:val="005C6300"/>
    <w:rsid w:val="005D0C97"/>
    <w:rsid w:val="005D2052"/>
    <w:rsid w:val="005D22EB"/>
    <w:rsid w:val="005D3D05"/>
    <w:rsid w:val="005E1666"/>
    <w:rsid w:val="005E1A2D"/>
    <w:rsid w:val="005E31BD"/>
    <w:rsid w:val="005E3ECA"/>
    <w:rsid w:val="005E4AD5"/>
    <w:rsid w:val="005E5183"/>
    <w:rsid w:val="005F4FA6"/>
    <w:rsid w:val="005F6FF9"/>
    <w:rsid w:val="005F71F6"/>
    <w:rsid w:val="00600E89"/>
    <w:rsid w:val="00603880"/>
    <w:rsid w:val="00603FEA"/>
    <w:rsid w:val="00604956"/>
    <w:rsid w:val="006108E0"/>
    <w:rsid w:val="00612615"/>
    <w:rsid w:val="00612ABC"/>
    <w:rsid w:val="00620EA2"/>
    <w:rsid w:val="00625E1C"/>
    <w:rsid w:val="00632039"/>
    <w:rsid w:val="00641758"/>
    <w:rsid w:val="00643676"/>
    <w:rsid w:val="006436D6"/>
    <w:rsid w:val="006458E3"/>
    <w:rsid w:val="006464AD"/>
    <w:rsid w:val="00647545"/>
    <w:rsid w:val="00647AB1"/>
    <w:rsid w:val="00655059"/>
    <w:rsid w:val="00660553"/>
    <w:rsid w:val="00663245"/>
    <w:rsid w:val="00663DE1"/>
    <w:rsid w:val="00664C86"/>
    <w:rsid w:val="00665902"/>
    <w:rsid w:val="006664D5"/>
    <w:rsid w:val="00667447"/>
    <w:rsid w:val="0067267E"/>
    <w:rsid w:val="00675178"/>
    <w:rsid w:val="006761C2"/>
    <w:rsid w:val="006771FF"/>
    <w:rsid w:val="00682943"/>
    <w:rsid w:val="00683D3B"/>
    <w:rsid w:val="006876F4"/>
    <w:rsid w:val="00692A30"/>
    <w:rsid w:val="00693EF1"/>
    <w:rsid w:val="00697DB7"/>
    <w:rsid w:val="006A307A"/>
    <w:rsid w:val="006B0B91"/>
    <w:rsid w:val="006B24E7"/>
    <w:rsid w:val="006B554E"/>
    <w:rsid w:val="006B5B87"/>
    <w:rsid w:val="006C21A8"/>
    <w:rsid w:val="006C49D3"/>
    <w:rsid w:val="006C742E"/>
    <w:rsid w:val="006D78DE"/>
    <w:rsid w:val="006E2B12"/>
    <w:rsid w:val="006E3BE7"/>
    <w:rsid w:val="006E5986"/>
    <w:rsid w:val="006E5F79"/>
    <w:rsid w:val="006E6073"/>
    <w:rsid w:val="006E7D51"/>
    <w:rsid w:val="006F01F5"/>
    <w:rsid w:val="006F05AC"/>
    <w:rsid w:val="006F1E99"/>
    <w:rsid w:val="006F26FB"/>
    <w:rsid w:val="006F2A9A"/>
    <w:rsid w:val="006F33DF"/>
    <w:rsid w:val="00710F9C"/>
    <w:rsid w:val="00711860"/>
    <w:rsid w:val="00714D1B"/>
    <w:rsid w:val="00717029"/>
    <w:rsid w:val="00720312"/>
    <w:rsid w:val="0072202C"/>
    <w:rsid w:val="0072288E"/>
    <w:rsid w:val="00730BF8"/>
    <w:rsid w:val="007313AE"/>
    <w:rsid w:val="0073667E"/>
    <w:rsid w:val="00740012"/>
    <w:rsid w:val="00741F34"/>
    <w:rsid w:val="00745B3A"/>
    <w:rsid w:val="0074780F"/>
    <w:rsid w:val="007502BB"/>
    <w:rsid w:val="007520B7"/>
    <w:rsid w:val="00752D2E"/>
    <w:rsid w:val="007539EE"/>
    <w:rsid w:val="00756CFF"/>
    <w:rsid w:val="00762F4A"/>
    <w:rsid w:val="007633CA"/>
    <w:rsid w:val="007663F0"/>
    <w:rsid w:val="00774DB3"/>
    <w:rsid w:val="00777511"/>
    <w:rsid w:val="00782BD3"/>
    <w:rsid w:val="00783A2D"/>
    <w:rsid w:val="0078701B"/>
    <w:rsid w:val="0079003D"/>
    <w:rsid w:val="00790F54"/>
    <w:rsid w:val="0079349C"/>
    <w:rsid w:val="007957D3"/>
    <w:rsid w:val="007A41FE"/>
    <w:rsid w:val="007A4FF1"/>
    <w:rsid w:val="007A5C4C"/>
    <w:rsid w:val="007A6008"/>
    <w:rsid w:val="007A66E8"/>
    <w:rsid w:val="007A67A8"/>
    <w:rsid w:val="007A6D6E"/>
    <w:rsid w:val="007C00B5"/>
    <w:rsid w:val="007C271F"/>
    <w:rsid w:val="007D4695"/>
    <w:rsid w:val="007D5F69"/>
    <w:rsid w:val="007D7D2D"/>
    <w:rsid w:val="007E24A8"/>
    <w:rsid w:val="007E6BBB"/>
    <w:rsid w:val="007F261A"/>
    <w:rsid w:val="007F4389"/>
    <w:rsid w:val="00805841"/>
    <w:rsid w:val="008067E9"/>
    <w:rsid w:val="008138C2"/>
    <w:rsid w:val="008207FC"/>
    <w:rsid w:val="00824A1A"/>
    <w:rsid w:val="0082723D"/>
    <w:rsid w:val="00830FB1"/>
    <w:rsid w:val="008318D4"/>
    <w:rsid w:val="00835C56"/>
    <w:rsid w:val="00835F60"/>
    <w:rsid w:val="0083628C"/>
    <w:rsid w:val="00840509"/>
    <w:rsid w:val="00840E2A"/>
    <w:rsid w:val="00841B85"/>
    <w:rsid w:val="0084484A"/>
    <w:rsid w:val="00845EAD"/>
    <w:rsid w:val="008509BD"/>
    <w:rsid w:val="008518FE"/>
    <w:rsid w:val="008631C4"/>
    <w:rsid w:val="00863246"/>
    <w:rsid w:val="008647E2"/>
    <w:rsid w:val="00865A3B"/>
    <w:rsid w:val="00867C1C"/>
    <w:rsid w:val="0087458E"/>
    <w:rsid w:val="00874F4C"/>
    <w:rsid w:val="00877005"/>
    <w:rsid w:val="0088112D"/>
    <w:rsid w:val="0088245D"/>
    <w:rsid w:val="00886D81"/>
    <w:rsid w:val="00893B6A"/>
    <w:rsid w:val="008A0C31"/>
    <w:rsid w:val="008A1EE5"/>
    <w:rsid w:val="008A2F62"/>
    <w:rsid w:val="008B10B5"/>
    <w:rsid w:val="008B3EC8"/>
    <w:rsid w:val="008B6C92"/>
    <w:rsid w:val="008B7CE7"/>
    <w:rsid w:val="008C3A26"/>
    <w:rsid w:val="008C42A4"/>
    <w:rsid w:val="008C53F1"/>
    <w:rsid w:val="008C5FF0"/>
    <w:rsid w:val="008D1AF9"/>
    <w:rsid w:val="008D2226"/>
    <w:rsid w:val="008E4405"/>
    <w:rsid w:val="008E4839"/>
    <w:rsid w:val="008E5D81"/>
    <w:rsid w:val="008E656C"/>
    <w:rsid w:val="008E704C"/>
    <w:rsid w:val="008F39A1"/>
    <w:rsid w:val="00902772"/>
    <w:rsid w:val="00903665"/>
    <w:rsid w:val="0090419E"/>
    <w:rsid w:val="00904C28"/>
    <w:rsid w:val="009053AC"/>
    <w:rsid w:val="00910979"/>
    <w:rsid w:val="00913FA1"/>
    <w:rsid w:val="00916263"/>
    <w:rsid w:val="00916B1E"/>
    <w:rsid w:val="00916CF7"/>
    <w:rsid w:val="00916F72"/>
    <w:rsid w:val="009200D9"/>
    <w:rsid w:val="00924290"/>
    <w:rsid w:val="0093136C"/>
    <w:rsid w:val="009361E0"/>
    <w:rsid w:val="00940851"/>
    <w:rsid w:val="00950E79"/>
    <w:rsid w:val="00953DC8"/>
    <w:rsid w:val="009541DC"/>
    <w:rsid w:val="00954DED"/>
    <w:rsid w:val="00957FBC"/>
    <w:rsid w:val="0096288A"/>
    <w:rsid w:val="0096360D"/>
    <w:rsid w:val="00963665"/>
    <w:rsid w:val="009647CE"/>
    <w:rsid w:val="00964DCE"/>
    <w:rsid w:val="009661C0"/>
    <w:rsid w:val="009713B5"/>
    <w:rsid w:val="0097695A"/>
    <w:rsid w:val="00982515"/>
    <w:rsid w:val="00985C6F"/>
    <w:rsid w:val="00987DA5"/>
    <w:rsid w:val="00996119"/>
    <w:rsid w:val="009A10CD"/>
    <w:rsid w:val="009B1BE6"/>
    <w:rsid w:val="009B2215"/>
    <w:rsid w:val="009B3F2A"/>
    <w:rsid w:val="009B493D"/>
    <w:rsid w:val="009B6017"/>
    <w:rsid w:val="009B77A4"/>
    <w:rsid w:val="009B7B34"/>
    <w:rsid w:val="009C02EB"/>
    <w:rsid w:val="009C263C"/>
    <w:rsid w:val="009C760C"/>
    <w:rsid w:val="009D22C9"/>
    <w:rsid w:val="009D59B1"/>
    <w:rsid w:val="009D6E38"/>
    <w:rsid w:val="009D7F30"/>
    <w:rsid w:val="009E7949"/>
    <w:rsid w:val="009F1173"/>
    <w:rsid w:val="009F2CE7"/>
    <w:rsid w:val="009F6300"/>
    <w:rsid w:val="00A03DAA"/>
    <w:rsid w:val="00A053A7"/>
    <w:rsid w:val="00A07072"/>
    <w:rsid w:val="00A1398C"/>
    <w:rsid w:val="00A16209"/>
    <w:rsid w:val="00A179D8"/>
    <w:rsid w:val="00A17F78"/>
    <w:rsid w:val="00A217B1"/>
    <w:rsid w:val="00A226D6"/>
    <w:rsid w:val="00A326C7"/>
    <w:rsid w:val="00A34E4F"/>
    <w:rsid w:val="00A36005"/>
    <w:rsid w:val="00A36F6E"/>
    <w:rsid w:val="00A40FDD"/>
    <w:rsid w:val="00A43B1A"/>
    <w:rsid w:val="00A476E2"/>
    <w:rsid w:val="00A52E27"/>
    <w:rsid w:val="00A66B88"/>
    <w:rsid w:val="00A7059A"/>
    <w:rsid w:val="00A73CCB"/>
    <w:rsid w:val="00A754BF"/>
    <w:rsid w:val="00A80900"/>
    <w:rsid w:val="00A9256F"/>
    <w:rsid w:val="00A94073"/>
    <w:rsid w:val="00A95724"/>
    <w:rsid w:val="00A97609"/>
    <w:rsid w:val="00AA0964"/>
    <w:rsid w:val="00AA0D73"/>
    <w:rsid w:val="00AB0553"/>
    <w:rsid w:val="00AB7F1E"/>
    <w:rsid w:val="00AC0253"/>
    <w:rsid w:val="00AC760B"/>
    <w:rsid w:val="00AD0E90"/>
    <w:rsid w:val="00AD267E"/>
    <w:rsid w:val="00AD5950"/>
    <w:rsid w:val="00AE7B09"/>
    <w:rsid w:val="00AF4B02"/>
    <w:rsid w:val="00AF5C38"/>
    <w:rsid w:val="00B01D6A"/>
    <w:rsid w:val="00B0308C"/>
    <w:rsid w:val="00B10E20"/>
    <w:rsid w:val="00B13755"/>
    <w:rsid w:val="00B14EDA"/>
    <w:rsid w:val="00B15B26"/>
    <w:rsid w:val="00B15EA7"/>
    <w:rsid w:val="00B218BF"/>
    <w:rsid w:val="00B27FD9"/>
    <w:rsid w:val="00B30A58"/>
    <w:rsid w:val="00B33E1B"/>
    <w:rsid w:val="00B35FBA"/>
    <w:rsid w:val="00B35FD4"/>
    <w:rsid w:val="00B40022"/>
    <w:rsid w:val="00B40969"/>
    <w:rsid w:val="00B4789A"/>
    <w:rsid w:val="00B51B53"/>
    <w:rsid w:val="00B527C6"/>
    <w:rsid w:val="00B63983"/>
    <w:rsid w:val="00B66459"/>
    <w:rsid w:val="00B7027A"/>
    <w:rsid w:val="00B719FD"/>
    <w:rsid w:val="00B71B7E"/>
    <w:rsid w:val="00B73D60"/>
    <w:rsid w:val="00B7675B"/>
    <w:rsid w:val="00B80918"/>
    <w:rsid w:val="00B81709"/>
    <w:rsid w:val="00B82529"/>
    <w:rsid w:val="00B91227"/>
    <w:rsid w:val="00B94D4D"/>
    <w:rsid w:val="00B9576A"/>
    <w:rsid w:val="00B959E0"/>
    <w:rsid w:val="00B9605D"/>
    <w:rsid w:val="00B96F7F"/>
    <w:rsid w:val="00BA2FE9"/>
    <w:rsid w:val="00BB2C8E"/>
    <w:rsid w:val="00BB3836"/>
    <w:rsid w:val="00BC6F6D"/>
    <w:rsid w:val="00BC79AA"/>
    <w:rsid w:val="00BC7BE2"/>
    <w:rsid w:val="00BD01DA"/>
    <w:rsid w:val="00BD1DC0"/>
    <w:rsid w:val="00BE1D4B"/>
    <w:rsid w:val="00BE2BF0"/>
    <w:rsid w:val="00BE491C"/>
    <w:rsid w:val="00BE4F1C"/>
    <w:rsid w:val="00BE6F0A"/>
    <w:rsid w:val="00BE7278"/>
    <w:rsid w:val="00BF2E9E"/>
    <w:rsid w:val="00BF5021"/>
    <w:rsid w:val="00BF6960"/>
    <w:rsid w:val="00C00573"/>
    <w:rsid w:val="00C01D6D"/>
    <w:rsid w:val="00C0394B"/>
    <w:rsid w:val="00C101D8"/>
    <w:rsid w:val="00C15724"/>
    <w:rsid w:val="00C16678"/>
    <w:rsid w:val="00C21599"/>
    <w:rsid w:val="00C244B2"/>
    <w:rsid w:val="00C30868"/>
    <w:rsid w:val="00C41372"/>
    <w:rsid w:val="00C41FD7"/>
    <w:rsid w:val="00C6082A"/>
    <w:rsid w:val="00C61509"/>
    <w:rsid w:val="00C62C53"/>
    <w:rsid w:val="00C64768"/>
    <w:rsid w:val="00C71158"/>
    <w:rsid w:val="00C71A97"/>
    <w:rsid w:val="00C736F6"/>
    <w:rsid w:val="00C81FCB"/>
    <w:rsid w:val="00C829CC"/>
    <w:rsid w:val="00C91212"/>
    <w:rsid w:val="00C92BC1"/>
    <w:rsid w:val="00C96435"/>
    <w:rsid w:val="00CA25E8"/>
    <w:rsid w:val="00CA2731"/>
    <w:rsid w:val="00CA4BB0"/>
    <w:rsid w:val="00CA7053"/>
    <w:rsid w:val="00CB4172"/>
    <w:rsid w:val="00CB57AB"/>
    <w:rsid w:val="00CB6D1B"/>
    <w:rsid w:val="00CC2A43"/>
    <w:rsid w:val="00CC36AC"/>
    <w:rsid w:val="00CC5AAE"/>
    <w:rsid w:val="00CC7CB2"/>
    <w:rsid w:val="00CD017B"/>
    <w:rsid w:val="00CD0859"/>
    <w:rsid w:val="00CD2493"/>
    <w:rsid w:val="00CD55EC"/>
    <w:rsid w:val="00CE36B7"/>
    <w:rsid w:val="00CE41F5"/>
    <w:rsid w:val="00CE4391"/>
    <w:rsid w:val="00CF0D9C"/>
    <w:rsid w:val="00CF2FB6"/>
    <w:rsid w:val="00CF4250"/>
    <w:rsid w:val="00CF49DA"/>
    <w:rsid w:val="00CF5AE8"/>
    <w:rsid w:val="00CF67B5"/>
    <w:rsid w:val="00CF67E8"/>
    <w:rsid w:val="00CF7C5F"/>
    <w:rsid w:val="00D02236"/>
    <w:rsid w:val="00D046D2"/>
    <w:rsid w:val="00D06468"/>
    <w:rsid w:val="00D1017D"/>
    <w:rsid w:val="00D11282"/>
    <w:rsid w:val="00D11D55"/>
    <w:rsid w:val="00D14569"/>
    <w:rsid w:val="00D15B0F"/>
    <w:rsid w:val="00D25096"/>
    <w:rsid w:val="00D2614B"/>
    <w:rsid w:val="00D3035E"/>
    <w:rsid w:val="00D30B4B"/>
    <w:rsid w:val="00D31FD3"/>
    <w:rsid w:val="00D3496C"/>
    <w:rsid w:val="00D3643E"/>
    <w:rsid w:val="00D40841"/>
    <w:rsid w:val="00D411DB"/>
    <w:rsid w:val="00D452EA"/>
    <w:rsid w:val="00D57ABE"/>
    <w:rsid w:val="00D60D0A"/>
    <w:rsid w:val="00D63034"/>
    <w:rsid w:val="00D664DF"/>
    <w:rsid w:val="00D72C48"/>
    <w:rsid w:val="00D7572D"/>
    <w:rsid w:val="00D76EC7"/>
    <w:rsid w:val="00D806F7"/>
    <w:rsid w:val="00D90E8B"/>
    <w:rsid w:val="00D964B6"/>
    <w:rsid w:val="00DA06CF"/>
    <w:rsid w:val="00DA2107"/>
    <w:rsid w:val="00DA482F"/>
    <w:rsid w:val="00DA4F8D"/>
    <w:rsid w:val="00DA567B"/>
    <w:rsid w:val="00DA700A"/>
    <w:rsid w:val="00DB10DE"/>
    <w:rsid w:val="00DC0BCD"/>
    <w:rsid w:val="00DC63EA"/>
    <w:rsid w:val="00DC7755"/>
    <w:rsid w:val="00DD0776"/>
    <w:rsid w:val="00DD2D10"/>
    <w:rsid w:val="00DD493A"/>
    <w:rsid w:val="00DE0BA7"/>
    <w:rsid w:val="00DF1B60"/>
    <w:rsid w:val="00DF64FE"/>
    <w:rsid w:val="00DF70DD"/>
    <w:rsid w:val="00E05CBD"/>
    <w:rsid w:val="00E133C1"/>
    <w:rsid w:val="00E13A22"/>
    <w:rsid w:val="00E22023"/>
    <w:rsid w:val="00E24F6C"/>
    <w:rsid w:val="00E25FBD"/>
    <w:rsid w:val="00E27C54"/>
    <w:rsid w:val="00E33DFC"/>
    <w:rsid w:val="00E36DC0"/>
    <w:rsid w:val="00E40C11"/>
    <w:rsid w:val="00E504F9"/>
    <w:rsid w:val="00E5307C"/>
    <w:rsid w:val="00E5314E"/>
    <w:rsid w:val="00E538A2"/>
    <w:rsid w:val="00E65FF2"/>
    <w:rsid w:val="00E67113"/>
    <w:rsid w:val="00E67390"/>
    <w:rsid w:val="00E732A5"/>
    <w:rsid w:val="00E757CD"/>
    <w:rsid w:val="00E76293"/>
    <w:rsid w:val="00E773EF"/>
    <w:rsid w:val="00E841D0"/>
    <w:rsid w:val="00E84CB6"/>
    <w:rsid w:val="00E8759A"/>
    <w:rsid w:val="00E915A7"/>
    <w:rsid w:val="00E9363B"/>
    <w:rsid w:val="00E966EE"/>
    <w:rsid w:val="00EA0D8E"/>
    <w:rsid w:val="00EA4ECB"/>
    <w:rsid w:val="00EA78F0"/>
    <w:rsid w:val="00EB0365"/>
    <w:rsid w:val="00EB1D83"/>
    <w:rsid w:val="00EB210F"/>
    <w:rsid w:val="00EB3AB1"/>
    <w:rsid w:val="00EC2261"/>
    <w:rsid w:val="00ED09EC"/>
    <w:rsid w:val="00ED2B43"/>
    <w:rsid w:val="00EE161E"/>
    <w:rsid w:val="00EE26EB"/>
    <w:rsid w:val="00EE2B73"/>
    <w:rsid w:val="00EF0326"/>
    <w:rsid w:val="00EF0F0F"/>
    <w:rsid w:val="00EF712F"/>
    <w:rsid w:val="00F0048F"/>
    <w:rsid w:val="00F01F55"/>
    <w:rsid w:val="00F141A9"/>
    <w:rsid w:val="00F1772D"/>
    <w:rsid w:val="00F22C55"/>
    <w:rsid w:val="00F270CF"/>
    <w:rsid w:val="00F301E8"/>
    <w:rsid w:val="00F323E3"/>
    <w:rsid w:val="00F34D29"/>
    <w:rsid w:val="00F35C2C"/>
    <w:rsid w:val="00F36C13"/>
    <w:rsid w:val="00F44F0C"/>
    <w:rsid w:val="00F45974"/>
    <w:rsid w:val="00F45EFD"/>
    <w:rsid w:val="00F51B8A"/>
    <w:rsid w:val="00F53A4B"/>
    <w:rsid w:val="00F64D16"/>
    <w:rsid w:val="00F65B50"/>
    <w:rsid w:val="00F66D00"/>
    <w:rsid w:val="00F67B3D"/>
    <w:rsid w:val="00F733D2"/>
    <w:rsid w:val="00F87CF1"/>
    <w:rsid w:val="00F906DF"/>
    <w:rsid w:val="00F934DE"/>
    <w:rsid w:val="00F941F7"/>
    <w:rsid w:val="00F95832"/>
    <w:rsid w:val="00F9693E"/>
    <w:rsid w:val="00F973AF"/>
    <w:rsid w:val="00F9745A"/>
    <w:rsid w:val="00FA5CE9"/>
    <w:rsid w:val="00FA6695"/>
    <w:rsid w:val="00FA794C"/>
    <w:rsid w:val="00FB1C77"/>
    <w:rsid w:val="00FB3F6A"/>
    <w:rsid w:val="00FD2905"/>
    <w:rsid w:val="00FE1CEA"/>
    <w:rsid w:val="00FE3C8E"/>
    <w:rsid w:val="00FE3E86"/>
    <w:rsid w:val="00FE4490"/>
    <w:rsid w:val="00FE51F2"/>
    <w:rsid w:val="00FE52AD"/>
    <w:rsid w:val="00FE5547"/>
    <w:rsid w:val="00FF15E9"/>
    <w:rsid w:val="00FF6973"/>
    <w:rsid w:val="6B0F4ABB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semiHidden="0" w:name="heading 3"/>
    <w:lsdException w:qFormat="1" w:uiPriority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nhideWhenUsed="0" w:uiPriority="0" w:semiHidden="0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35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qFormat="1" w:unhideWhenUsed="0" w:uiPriority="0" w:semiHidden="0" w:name="footnote reference"/>
    <w:lsdException w:qFormat="1"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1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qFormat="1"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qFormat="1"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qFormat="1"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2">
    <w:name w:val="heading 1"/>
    <w:basedOn w:val="1"/>
    <w:next w:val="1"/>
    <w:link w:val="26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  <w:lang w:val="zh-CN" w:eastAsia="zh-CN"/>
    </w:rPr>
  </w:style>
  <w:style w:type="paragraph" w:styleId="3">
    <w:name w:val="heading 2"/>
    <w:basedOn w:val="1"/>
    <w:next w:val="1"/>
    <w:link w:val="27"/>
    <w:unhideWhenUsed/>
    <w:qFormat/>
    <w:uiPriority w:val="9"/>
    <w:pPr>
      <w:keepNext/>
      <w:keepLines/>
      <w:spacing w:before="260" w:after="260" w:line="416" w:lineRule="auto"/>
      <w:outlineLvl w:val="1"/>
    </w:pPr>
    <w:rPr>
      <w:rFonts w:ascii="Cambria" w:hAnsi="Cambria"/>
      <w:b/>
      <w:bCs/>
      <w:kern w:val="0"/>
      <w:sz w:val="32"/>
      <w:szCs w:val="32"/>
      <w:lang w:val="zh-CN" w:eastAsia="zh-CN"/>
    </w:rPr>
  </w:style>
  <w:style w:type="paragraph" w:styleId="4">
    <w:name w:val="heading 3"/>
    <w:basedOn w:val="1"/>
    <w:next w:val="1"/>
    <w:link w:val="23"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kern w:val="0"/>
      <w:sz w:val="32"/>
      <w:szCs w:val="32"/>
      <w:lang w:val="zh-CN" w:eastAsia="zh-CN"/>
    </w:rPr>
  </w:style>
  <w:style w:type="paragraph" w:styleId="5">
    <w:name w:val="heading 4"/>
    <w:basedOn w:val="1"/>
    <w:next w:val="1"/>
    <w:link w:val="33"/>
    <w:semiHidden/>
    <w:unhideWhenUsed/>
    <w:qFormat/>
    <w:uiPriority w:val="0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kern w:val="0"/>
      <w:sz w:val="28"/>
      <w:szCs w:val="28"/>
      <w:lang w:val="zh-CN" w:eastAsia="zh-CN"/>
    </w:rPr>
  </w:style>
  <w:style w:type="character" w:default="1" w:styleId="19">
    <w:name w:val="Default Paragraph Font"/>
    <w:semiHidden/>
    <w:unhideWhenUsed/>
    <w:qFormat/>
    <w:uiPriority w:val="1"/>
  </w:style>
  <w:style w:type="table" w:default="1" w:styleId="1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Document Map"/>
    <w:basedOn w:val="1"/>
    <w:uiPriority w:val="0"/>
    <w:pPr>
      <w:shd w:val="clear" w:color="auto" w:fill="000080"/>
    </w:pPr>
  </w:style>
  <w:style w:type="paragraph" w:styleId="7">
    <w:name w:val="annotation text"/>
    <w:basedOn w:val="1"/>
    <w:qFormat/>
    <w:uiPriority w:val="0"/>
    <w:pPr>
      <w:jc w:val="left"/>
    </w:pPr>
  </w:style>
  <w:style w:type="paragraph" w:styleId="8">
    <w:name w:val="Date"/>
    <w:basedOn w:val="1"/>
    <w:next w:val="1"/>
    <w:link w:val="48"/>
    <w:qFormat/>
    <w:uiPriority w:val="0"/>
    <w:rPr>
      <w:rFonts w:ascii="宋体"/>
      <w:sz w:val="32"/>
      <w:lang w:val="zh-CN" w:eastAsia="zh-CN"/>
    </w:rPr>
  </w:style>
  <w:style w:type="paragraph" w:styleId="9">
    <w:name w:val="Balloon Text"/>
    <w:basedOn w:val="1"/>
    <w:qFormat/>
    <w:uiPriority w:val="0"/>
    <w:rPr>
      <w:sz w:val="18"/>
      <w:szCs w:val="18"/>
    </w:rPr>
  </w:style>
  <w:style w:type="paragraph" w:styleId="10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1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2">
    <w:name w:val="Subtitle"/>
    <w:basedOn w:val="3"/>
    <w:next w:val="4"/>
    <w:link w:val="25"/>
    <w:qFormat/>
    <w:uiPriority w:val="0"/>
    <w:pPr>
      <w:spacing w:before="240" w:after="60" w:line="312" w:lineRule="auto"/>
      <w:jc w:val="left"/>
    </w:pPr>
    <w:rPr>
      <w:bCs w:val="0"/>
      <w:kern w:val="28"/>
      <w:sz w:val="24"/>
    </w:rPr>
  </w:style>
  <w:style w:type="paragraph" w:styleId="13">
    <w:name w:val="footnote text"/>
    <w:basedOn w:val="1"/>
    <w:link w:val="47"/>
    <w:qFormat/>
    <w:uiPriority w:val="0"/>
    <w:pPr>
      <w:snapToGrid w:val="0"/>
      <w:jc w:val="left"/>
    </w:pPr>
    <w:rPr>
      <w:sz w:val="18"/>
      <w:szCs w:val="18"/>
      <w:lang w:val="zh-CN" w:eastAsia="zh-CN"/>
    </w:rPr>
  </w:style>
  <w:style w:type="paragraph" w:styleId="14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/>
      <w:kern w:val="0"/>
      <w:sz w:val="24"/>
    </w:rPr>
  </w:style>
  <w:style w:type="paragraph" w:styleId="15">
    <w:name w:val="Title"/>
    <w:basedOn w:val="2"/>
    <w:next w:val="3"/>
    <w:link w:val="28"/>
    <w:qFormat/>
    <w:uiPriority w:val="10"/>
    <w:pPr>
      <w:keepNext w:val="0"/>
      <w:keepLines w:val="0"/>
      <w:spacing w:before="240" w:after="60" w:line="240" w:lineRule="auto"/>
      <w:jc w:val="center"/>
    </w:pPr>
    <w:rPr>
      <w:rFonts w:ascii="Cambria" w:hAnsi="Cambria"/>
      <w:kern w:val="0"/>
      <w:sz w:val="32"/>
      <w:szCs w:val="32"/>
    </w:rPr>
  </w:style>
  <w:style w:type="paragraph" w:styleId="16">
    <w:name w:val="annotation subject"/>
    <w:basedOn w:val="7"/>
    <w:next w:val="7"/>
    <w:qFormat/>
    <w:uiPriority w:val="0"/>
    <w:rPr>
      <w:b/>
      <w:bCs/>
    </w:rPr>
  </w:style>
  <w:style w:type="table" w:styleId="18">
    <w:name w:val="Table Grid"/>
    <w:basedOn w:val="17"/>
    <w:uiPriority w:val="0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20">
    <w:name w:val="page number"/>
    <w:basedOn w:val="19"/>
    <w:uiPriority w:val="0"/>
  </w:style>
  <w:style w:type="character" w:styleId="21">
    <w:name w:val="annotation reference"/>
    <w:qFormat/>
    <w:uiPriority w:val="0"/>
    <w:rPr>
      <w:sz w:val="21"/>
      <w:szCs w:val="21"/>
    </w:rPr>
  </w:style>
  <w:style w:type="character" w:styleId="22">
    <w:name w:val="footnote reference"/>
    <w:qFormat/>
    <w:uiPriority w:val="0"/>
    <w:rPr>
      <w:vertAlign w:val="superscript"/>
    </w:rPr>
  </w:style>
  <w:style w:type="character" w:customStyle="1" w:styleId="23">
    <w:name w:val="标题 3 字符"/>
    <w:link w:val="4"/>
    <w:qFormat/>
    <w:uiPriority w:val="9"/>
    <w:rPr>
      <w:b/>
      <w:bCs/>
      <w:sz w:val="32"/>
      <w:szCs w:val="32"/>
    </w:rPr>
  </w:style>
  <w:style w:type="character" w:customStyle="1" w:styleId="24">
    <w:name w:val="CODE"/>
    <w:qFormat/>
    <w:uiPriority w:val="0"/>
    <w:rPr>
      <w:rFonts w:ascii="Courier New" w:hAnsi="Courier New"/>
      <w:spacing w:val="-10"/>
      <w:sz w:val="20"/>
      <w:lang w:val="en-GB" w:eastAsia="zh-CN"/>
    </w:rPr>
  </w:style>
  <w:style w:type="character" w:customStyle="1" w:styleId="25">
    <w:name w:val="副标题 字符"/>
    <w:link w:val="12"/>
    <w:qFormat/>
    <w:uiPriority w:val="0"/>
    <w:rPr>
      <w:rFonts w:ascii="Cambria" w:hAnsi="Cambria" w:eastAsia="宋体" w:cs="Times New Roman"/>
      <w:b/>
      <w:kern w:val="28"/>
      <w:sz w:val="24"/>
      <w:szCs w:val="32"/>
    </w:rPr>
  </w:style>
  <w:style w:type="character" w:customStyle="1" w:styleId="26">
    <w:name w:val="标题 1 字符"/>
    <w:link w:val="2"/>
    <w:qFormat/>
    <w:uiPriority w:val="9"/>
    <w:rPr>
      <w:b/>
      <w:bCs/>
      <w:kern w:val="44"/>
      <w:sz w:val="44"/>
      <w:szCs w:val="44"/>
    </w:rPr>
  </w:style>
  <w:style w:type="character" w:customStyle="1" w:styleId="27">
    <w:name w:val="标题 2 字符"/>
    <w:link w:val="3"/>
    <w:qFormat/>
    <w:uiPriority w:val="9"/>
    <w:rPr>
      <w:rFonts w:ascii="Cambria" w:hAnsi="Cambria" w:eastAsia="宋体" w:cs="Times New Roman"/>
      <w:b/>
      <w:bCs/>
      <w:sz w:val="32"/>
      <w:szCs w:val="32"/>
    </w:rPr>
  </w:style>
  <w:style w:type="character" w:customStyle="1" w:styleId="28">
    <w:name w:val="标题 字符"/>
    <w:link w:val="15"/>
    <w:qFormat/>
    <w:uiPriority w:val="10"/>
    <w:rPr>
      <w:rFonts w:ascii="Cambria" w:hAnsi="Cambria" w:cs="Times New Roman"/>
      <w:b/>
      <w:bCs/>
      <w:sz w:val="32"/>
      <w:szCs w:val="32"/>
    </w:rPr>
  </w:style>
  <w:style w:type="paragraph" w:customStyle="1" w:styleId="29">
    <w:name w:val="xl33"/>
    <w:basedOn w:val="1"/>
    <w:qFormat/>
    <w:uiPriority w:val="0"/>
    <w:pPr>
      <w:widowControl/>
      <w:pBdr>
        <w:left w:val="single" w:color="auto" w:sz="4" w:space="0"/>
        <w:bottom w:val="single" w:color="auto" w:sz="4" w:space="0"/>
        <w:right w:val="single" w:color="auto" w:sz="4" w:space="0"/>
      </w:pBdr>
      <w:spacing w:before="100" w:beforeAutospacing="1" w:after="100" w:afterAutospacing="1"/>
      <w:jc w:val="center"/>
    </w:pPr>
    <w:rPr>
      <w:rFonts w:ascii="Arial Unicode MS" w:hAnsi="Arial Unicode MS" w:eastAsia="Arial Unicode MS" w:cs="Arial Unicode MS"/>
      <w:kern w:val="0"/>
      <w:sz w:val="24"/>
    </w:rPr>
  </w:style>
  <w:style w:type="paragraph" w:customStyle="1" w:styleId="30">
    <w:name w:val="Char Char Char Char Char Char1 Char Char Char"/>
    <w:basedOn w:val="1"/>
    <w:qFormat/>
    <w:uiPriority w:val="0"/>
    <w:pPr>
      <w:autoSpaceDE w:val="0"/>
      <w:autoSpaceDN w:val="0"/>
      <w:adjustRightInd w:val="0"/>
      <w:jc w:val="left"/>
      <w:textAlignment w:val="baseline"/>
    </w:pPr>
    <w:rPr>
      <w:rFonts w:ascii="宋体"/>
      <w:kern w:val="0"/>
      <w:sz w:val="34"/>
    </w:rPr>
  </w:style>
  <w:style w:type="paragraph" w:customStyle="1" w:styleId="31">
    <w:name w:val="次标题"/>
    <w:basedOn w:val="4"/>
    <w:next w:val="1"/>
    <w:uiPriority w:val="0"/>
    <w:pPr>
      <w:jc w:val="left"/>
    </w:pPr>
    <w:rPr>
      <w:rFonts w:ascii="宋体" w:hAnsi="宋体"/>
      <w:sz w:val="24"/>
      <w:szCs w:val="24"/>
    </w:rPr>
  </w:style>
  <w:style w:type="paragraph" w:customStyle="1" w:styleId="32">
    <w:name w:val="Char"/>
    <w:basedOn w:val="1"/>
    <w:uiPriority w:val="0"/>
  </w:style>
  <w:style w:type="character" w:customStyle="1" w:styleId="33">
    <w:name w:val="标题 4 字符"/>
    <w:link w:val="5"/>
    <w:semiHidden/>
    <w:uiPriority w:val="0"/>
    <w:rPr>
      <w:rFonts w:ascii="Cambria" w:hAnsi="Cambria" w:eastAsia="宋体" w:cs="Times New Roman"/>
      <w:b/>
      <w:bCs/>
      <w:sz w:val="28"/>
      <w:szCs w:val="28"/>
    </w:rPr>
  </w:style>
  <w:style w:type="paragraph" w:customStyle="1" w:styleId="34">
    <w:name w:val="XBRL标题1"/>
    <w:basedOn w:val="2"/>
    <w:next w:val="3"/>
    <w:qFormat/>
    <w:uiPriority w:val="0"/>
    <w:pPr>
      <w:spacing w:beforeLines="50" w:afterLines="50" w:line="240" w:lineRule="auto"/>
      <w:jc w:val="center"/>
    </w:pPr>
    <w:rPr>
      <w:rFonts w:ascii="Cambria" w:hAnsi="Cambria"/>
      <w:sz w:val="28"/>
    </w:rPr>
  </w:style>
  <w:style w:type="paragraph" w:customStyle="1" w:styleId="35">
    <w:name w:val="XBRL标题2"/>
    <w:basedOn w:val="12"/>
    <w:next w:val="5"/>
    <w:qFormat/>
    <w:uiPriority w:val="0"/>
    <w:pPr>
      <w:spacing w:beforeLines="50" w:afterLines="50" w:line="240" w:lineRule="auto"/>
    </w:pPr>
    <w:rPr>
      <w:bCs/>
    </w:rPr>
  </w:style>
  <w:style w:type="paragraph" w:customStyle="1" w:styleId="36">
    <w:name w:val="XBRL标题3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7">
    <w:name w:val="XBRL标题4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8">
    <w:name w:val="XBRL标题5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39">
    <w:name w:val="XBRL标题6"/>
    <w:basedOn w:val="12"/>
    <w:next w:val="5"/>
    <w:qFormat/>
    <w:uiPriority w:val="0"/>
    <w:pPr>
      <w:spacing w:beforeLines="50" w:afterLines="50" w:line="240" w:lineRule="auto"/>
      <w:outlineLvl w:val="9"/>
    </w:pPr>
    <w:rPr>
      <w:bCs/>
    </w:rPr>
  </w:style>
  <w:style w:type="paragraph" w:customStyle="1" w:styleId="40">
    <w:name w:val="XBRLTitle1"/>
    <w:basedOn w:val="2"/>
    <w:next w:val="3"/>
    <w:qFormat/>
    <w:uiPriority w:val="0"/>
    <w:pPr>
      <w:numPr>
        <w:ilvl w:val="0"/>
        <w:numId w:val="1"/>
      </w:numPr>
      <w:spacing w:before="156" w:beforeLines="50" w:after="156" w:afterLines="50" w:line="240" w:lineRule="auto"/>
      <w:jc w:val="left"/>
    </w:pPr>
    <w:rPr>
      <w:rFonts w:ascii="Cambria" w:hAnsi="Cambria"/>
      <w:sz w:val="28"/>
    </w:rPr>
  </w:style>
  <w:style w:type="paragraph" w:customStyle="1" w:styleId="41">
    <w:name w:val="XBRLTitle2"/>
    <w:basedOn w:val="12"/>
    <w:next w:val="5"/>
    <w:qFormat/>
    <w:uiPriority w:val="0"/>
    <w:pPr>
      <w:numPr>
        <w:ilvl w:val="1"/>
        <w:numId w:val="2"/>
      </w:numPr>
      <w:spacing w:beforeLines="50" w:afterLines="50" w:line="240" w:lineRule="auto"/>
    </w:pPr>
    <w:rPr>
      <w:bCs/>
    </w:rPr>
  </w:style>
  <w:style w:type="paragraph" w:customStyle="1" w:styleId="42">
    <w:name w:val="XBRLTitle3"/>
    <w:basedOn w:val="12"/>
    <w:next w:val="5"/>
    <w:qFormat/>
    <w:uiPriority w:val="0"/>
    <w:pPr>
      <w:numPr>
        <w:ilvl w:val="2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3">
    <w:name w:val="XBRLTitle4"/>
    <w:basedOn w:val="12"/>
    <w:next w:val="5"/>
    <w:qFormat/>
    <w:uiPriority w:val="0"/>
    <w:pPr>
      <w:numPr>
        <w:ilvl w:val="3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4">
    <w:name w:val="XBRLTitle5"/>
    <w:basedOn w:val="12"/>
    <w:next w:val="5"/>
    <w:qFormat/>
    <w:uiPriority w:val="0"/>
    <w:pPr>
      <w:numPr>
        <w:ilvl w:val="4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5">
    <w:name w:val="XBRLTitle6"/>
    <w:basedOn w:val="12"/>
    <w:next w:val="5"/>
    <w:qFormat/>
    <w:uiPriority w:val="0"/>
    <w:pPr>
      <w:numPr>
        <w:ilvl w:val="5"/>
        <w:numId w:val="2"/>
      </w:numPr>
      <w:spacing w:beforeLines="50" w:afterLines="50" w:line="240" w:lineRule="auto"/>
      <w:outlineLvl w:val="9"/>
    </w:pPr>
    <w:rPr>
      <w:bCs/>
    </w:rPr>
  </w:style>
  <w:style w:type="paragraph" w:customStyle="1" w:styleId="46">
    <w:name w:val="Default"/>
    <w:qFormat/>
    <w:uiPriority w:val="0"/>
    <w:pPr>
      <w:widowControl w:val="0"/>
      <w:autoSpaceDE w:val="0"/>
      <w:autoSpaceDN w:val="0"/>
      <w:adjustRightInd w:val="0"/>
    </w:pPr>
    <w:rPr>
      <w:rFonts w:ascii="仿宋" w:hAnsi="仿宋" w:eastAsia="宋体" w:cs="仿宋"/>
      <w:color w:val="000000"/>
      <w:sz w:val="24"/>
      <w:szCs w:val="24"/>
      <w:lang w:val="en-US" w:eastAsia="zh-CN" w:bidi="ar-SA"/>
    </w:rPr>
  </w:style>
  <w:style w:type="character" w:customStyle="1" w:styleId="47">
    <w:name w:val="脚注文本 字符"/>
    <w:link w:val="13"/>
    <w:uiPriority w:val="0"/>
    <w:rPr>
      <w:kern w:val="2"/>
      <w:sz w:val="18"/>
      <w:szCs w:val="18"/>
    </w:rPr>
  </w:style>
  <w:style w:type="character" w:customStyle="1" w:styleId="48">
    <w:name w:val="日期 字符"/>
    <w:link w:val="8"/>
    <w:uiPriority w:val="0"/>
    <w:rPr>
      <w:rFonts w:ascii="宋体"/>
      <w:kern w:val="2"/>
      <w:sz w:val="32"/>
    </w:rPr>
  </w:style>
  <w:style w:type="paragraph" w:styleId="49">
    <w:name w:val="List Paragraph"/>
    <w:basedOn w:val="1"/>
    <w:qFormat/>
    <w:uiPriority w:val="34"/>
    <w:pPr>
      <w:ind w:firstLine="420" w:firstLineChars="200"/>
    </w:pPr>
  </w:style>
  <w:style w:type="paragraph" w:customStyle="1" w:styleId="50">
    <w:name w:val="Char1"/>
    <w:basedOn w:val="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s\FA&#22806;&#21253;-LU70\WbWeb\TBCoreV2\TBCore.Web\Report\Template\Normal.dot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7C33ED8-1EE1-4735-B60D-88619864371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</Template>
  <Company>Lenovo</Company>
  <Pages>5</Pages>
  <Words>969</Words>
  <Characters>1448</Characters>
  <Lines>13</Lines>
  <Paragraphs>3</Paragraphs>
  <TotalTime>6</TotalTime>
  <ScaleCrop>false</ScaleCrop>
  <LinksUpToDate>false</LinksUpToDate>
  <CharactersWithSpaces>1506</CharactersWithSpaces>
  <Application>WPS Office_11.1.0.11875_F1E327BC-269C-435d-A152-05C5408002CA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2020-01-07T12:08:00Z</dcterms:created>
  <dc:creator>yss</dc:creator>
  <cp:lastModifiedBy>苏晓雅</cp:lastModifiedBy>
  <cp:lastPrinted>2411-12-31T16:00:00Z</cp:lastPrinted>
  <dcterms:modified xsi:type="dcterms:W3CDTF">2022-07-25T03:04:28Z</dcterms:modified>
  <dc:title>gongGaoMingCheng</dc:title>
  <cp:revision>149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2052-11.1.0.11875</vt:lpwstr>
  </property>
  <property fmtid="{D5CDD505-2E9C-101B-9397-08002B2CF9AE}" pid="3" name="Generator">
    <vt:lpwstr>NPOI</vt:lpwstr>
  </property>
  <property fmtid="{D5CDD505-2E9C-101B-9397-08002B2CF9AE}" pid="4" name="Generator Version">
    <vt:lpwstr>2.2.1</vt:lpwstr>
  </property>
  <property fmtid="{D5CDD505-2E9C-101B-9397-08002B2CF9AE}" pid="5" name="ICV">
    <vt:lpwstr>77F890A410AB4FA999CD1EA470AC9F04</vt:lpwstr>
  </property>
</Properties>
</file>