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四川银行定开系列3个月9号净值型理财产品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四川银行定开系列3个月9号净值型理财产品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127,840,460.00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558,656.58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807,917.16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128,085,347.03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95,574,930.97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74.59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95,574,930.97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74.59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32,005,313.60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24.98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116,407.80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440,991.46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128,137,643.83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32,005,313.60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10,988,834.25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10,004,109.59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7,201,973.97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7,161,115.07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7,079,857.53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7,019,657.53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6,371,235.62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5,899,895.65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4.61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CC0146A"/>
    <w:rsid w:val="672C101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2022-10-18T08:48:45Z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C3E8F79EDD5C42528736F81C7151E04A</vt:lpwstr>
  </property>
</Properties>
</file>