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四川银行定开系列6个月17号净值型理财产品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四川银行定开系列6个月17号净值型理财产品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87,926,000.00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1.73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574,702.96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884,747.83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89,448,444.71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1.0173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59,065,717.39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65.67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59,065,717.39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65.67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30,004,981.50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33.36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281,795.30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0.31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591,990.90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0.66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89,944,485.09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30,004,981.50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7,318,730.14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7,220,538.36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7,217,669.32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7,160,923.29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7,094,661.10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7,019,657.53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6,992,894.52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5,321,143.84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PR临川债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3,719,499.29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4.16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r>
        <w:rPr>
          <w:rFonts w:ascii="宋体" w:hAnsi="宋体"/>
          <w:szCs w:val="21"/>
        </w:rPr>
        <w:t>21眉</w:t>
      </w:r>
      <w:r>
        <w:rPr>
          <w:rFonts w:hint="eastAsia" w:ascii="宋体" w:hAnsi="宋体"/>
          <w:szCs w:val="21"/>
          <w:lang w:val="en-US" w:eastAsia="zh-CN"/>
        </w:rPr>
        <w:t>府</w:t>
      </w:r>
      <w:r>
        <w:rPr>
          <w:rFonts w:ascii="宋体" w:hAnsi="宋体"/>
          <w:szCs w:val="21"/>
        </w:rPr>
        <w:t>01</w:t>
      </w:r>
      <w:bookmarkStart w:id="5" w:name="_GoBack"/>
      <w:bookmarkEnd w:id="5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  <w:rsid w:val="7A5E30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2022-10-18T08:26:50Z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2A9CEC002ADF4F29B5281A3D2F24DC5A</vt:lpwstr>
  </property>
</Properties>
</file>