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四川银行定开系列6个月16号净值型理财产品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四川银行定开系列6个月16号净值型理财产品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2022-04-19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151,445,732.00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6.66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5,831,784.31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7,620,129.32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152,535,925.07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1.0666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130,141,401.77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84.30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130,141,401.77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84.30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23,021,335.32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14.91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508,504.41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0.33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701,222.45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0.45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154,372,463.95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23,021,335.32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23青岛农商行CD172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14,888,785.82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10,899,794.52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10,261,123.29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20香城投资MTN002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10,222,551.91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10,059,002.73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10,046,054.64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23广西北部湾银行CD309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9,881,469.78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22峨眉01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9,683,334.25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  <w:bookmarkStart w:id="6" w:name="_GoBack"/>
            <w:bookmarkEnd w:id="6"/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8,287,649.32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5.43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21攀国投</w:t>
      </w:r>
      <w:r>
        <w:rPr>
          <w:rFonts w:hint="eastAsia" w:ascii="宋体" w:hAnsi="宋体"/>
          <w:szCs w:val="21"/>
          <w:lang w:eastAsia="zh-CN"/>
        </w:rPr>
        <w:t>、</w:t>
      </w:r>
      <w:r>
        <w:rPr>
          <w:rFonts w:ascii="宋体" w:hAnsi="宋体"/>
          <w:szCs w:val="21"/>
        </w:rPr>
        <w:t>21眉府01</w:t>
      </w:r>
      <w:r>
        <w:rPr>
          <w:rFonts w:hint="eastAsia" w:ascii="宋体" w:hAnsi="宋体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/>
          <w:szCs w:val="21"/>
        </w:rPr>
        <w:t>21天投</w:t>
      </w:r>
      <w:r>
        <w:rPr>
          <w:rFonts w:asciiTheme="minorEastAsia" w:hAnsiTheme="minorEastAsia" w:eastAsiaTheme="minorEastAsia"/>
          <w:szCs w:val="21"/>
        </w:rPr>
        <w:t>Y2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62776BE8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uiPriority w:val="0"/>
  </w:style>
  <w:style w:type="character" w:styleId="21">
    <w:name w:val="annotation reference"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Char"/>
    <w:link w:val="4"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Char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uiPriority w:val="0"/>
    <w:rPr>
      <w:kern w:val="2"/>
      <w:sz w:val="18"/>
      <w:szCs w:val="18"/>
    </w:rPr>
  </w:style>
  <w:style w:type="character" w:customStyle="1" w:styleId="48">
    <w:name w:val="日期 Char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1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2024-03-20T09:31:46Z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213BAE2FC1A04372BC4BFA5B24E0A075</vt:lpwstr>
  </property>
</Properties>
</file>