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Times New Roman"/>
          <w:b/>
          <w:color w:val="000000"/>
          <w:kern w:val="0"/>
          <w:sz w:val="36"/>
          <w:szCs w:val="20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20"/>
        </w:rPr>
        <w:t>川银系列“美日利”人民币理财产品</w:t>
      </w:r>
    </w:p>
    <w:p>
      <w:pPr>
        <w:widowControl/>
        <w:bidi w:val="0"/>
        <w:jc w:val="center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20"/>
        </w:rPr>
        <w:t>2025年</w:t>
      </w: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36"/>
          <w:szCs w:val="20"/>
          <w:lang w:val="en-US" w:eastAsia="zh-CN"/>
        </w:rPr>
        <w:t>上半年</w:t>
      </w:r>
      <w:r>
        <w:rPr>
          <w:rFonts w:ascii="仿宋" w:hAnsi="仿宋" w:eastAsia="仿宋" w:cs="Times New Roman"/>
          <w:b/>
          <w:i w:val="0"/>
          <w:color w:val="000000"/>
          <w:kern w:val="0"/>
          <w:sz w:val="36"/>
          <w:szCs w:val="20"/>
          <w:lang w:eastAsia="en-US"/>
        </w:rPr>
        <w:t>报告</w:t>
      </w:r>
    </w:p>
    <w:p>
      <w:pPr>
        <w:jc w:val="center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01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1日-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06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日</w:t>
      </w:r>
    </w:p>
    <w:p>
      <w:pPr>
        <w:jc w:val="center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</w:p>
    <w:p>
      <w:pPr>
        <w:widowControl/>
        <w:bidi w:val="0"/>
        <w:jc w:val="center"/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§1  重要提示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br w:type="textWrapping"/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产品管理人保证本报告所载资料不存在虚假记载、误导性陈述或重大遗漏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,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并对其内容的真实性、准确性和完整性承担个别及连带责任。</w:t>
      </w:r>
      <w:bookmarkStart w:id="0" w:name="_GoBack"/>
      <w:bookmarkEnd w:id="0"/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br w:type="textWrapping"/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产品托管人中国工商银行股份有限公司，已复核了本报告中的财务指标、净值表现和投资组合报告等内容，保证复核内容不存在虚假记载、误导性陈述或者重大遗漏。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br w:type="textWrapping"/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本报告中财务资料未经审计。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本报告期自起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01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1日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至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06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日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止。</w:t>
      </w:r>
    </w:p>
    <w:p>
      <w:pPr>
        <w:widowControl/>
        <w:bidi w:val="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</w:p>
    <w:p>
      <w:pPr>
        <w:widowControl/>
        <w:bidi w:val="0"/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§2  产品概况</w:t>
      </w:r>
    </w:p>
    <w:p>
      <w:pPr>
        <w:widowControl/>
        <w:bidi w:val="0"/>
        <w:jc w:val="center"/>
        <w:rPr>
          <w:rFonts w:ascii="仿宋" w:hAnsi="仿宋" w:eastAsia="仿宋"/>
          <w:b/>
          <w:i w:val="0"/>
          <w:color w:val="000000"/>
          <w:sz w:val="24"/>
          <w:lang w:eastAsia="en-US"/>
        </w:rPr>
      </w:pPr>
    </w:p>
    <w:tbl>
      <w:tblPr>
        <w:tblStyle w:val="2"/>
        <w:tblW w:w="75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5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67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产品名称</w:t>
            </w:r>
          </w:p>
        </w:tc>
        <w:tc>
          <w:tcPr>
            <w:tcW w:w="5677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川银系列“美日利”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人民币理财产品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产品登记编码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C1079020000071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产品类型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非保本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eastAsia="zh-CN"/>
              </w:rPr>
              <w:t>净值型理财产品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报告期末产品存续规模（份）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3,558,153,344.87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收益类型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非保本浮动收益型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发行方式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公募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投资范围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spacing w:before="199" w:after="199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</w:rPr>
              <w:t>100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  <w:lang w:val="en-US" w:eastAsia="zh-CN"/>
              </w:rPr>
              <w:t>%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</w:rPr>
              <w:t>投资于期限在1年以内（含1年）的银行活期存款及银行定期存款、债券回购、中央银行票据、同业存单，剩余期限在397天以内（含397天）的债券、在银行间市场和证券交易所市场发行的资产支持证券，以及银保监会、中国人民银行认可的其他具有良好流动性的货币市场工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产品成立日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2020年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 xml:space="preserve">月3日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产品终止日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119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杠杆水平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highlight w:val="none"/>
                <w:lang w:val="en-US" w:eastAsia="zh-CN"/>
              </w:rPr>
              <w:t>100.06%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风险等级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1级：低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ascii="仿宋" w:hAnsi="仿宋" w:eastAsia="仿宋"/>
                <w:b w:val="0"/>
                <w:i w:val="0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  <w:szCs w:val="22"/>
              </w:rPr>
              <w:t>产品管理人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ascii="仿宋" w:hAnsi="仿宋" w:eastAsia="仿宋"/>
                <w:b w:val="0"/>
                <w:i w:val="0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  <w:szCs w:val="22"/>
              </w:rPr>
              <w:t>四川银行股份有限公司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产品托管人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中国工商银行股份有限公司</w:t>
            </w:r>
          </w:p>
        </w:tc>
      </w:tr>
    </w:tbl>
    <w:p>
      <w:pPr>
        <w:jc w:val="both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</w:p>
    <w:p>
      <w:pPr>
        <w:jc w:val="both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</w:p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§3  产品业绩表现</w:t>
      </w:r>
    </w:p>
    <w:p>
      <w:pPr>
        <w:jc w:val="right"/>
        <w:rPr>
          <w:rFonts w:ascii="仿宋" w:hAnsi="仿宋" w:eastAsia="仿宋"/>
          <w:b w:val="0"/>
          <w:i w:val="0"/>
          <w:color w:val="000000"/>
          <w:sz w:val="24"/>
        </w:rPr>
      </w:pPr>
      <w:r>
        <w:rPr>
          <w:rFonts w:ascii="仿宋" w:hAnsi="仿宋" w:eastAsia="仿宋"/>
          <w:b w:val="0"/>
          <w:i w:val="0"/>
          <w:color w:val="000000"/>
          <w:sz w:val="24"/>
        </w:rPr>
        <w:t>单位：人民币元</w:t>
      </w:r>
    </w:p>
    <w:p>
      <w:pPr>
        <w:jc w:val="right"/>
        <w:rPr>
          <w:rFonts w:ascii="仿宋" w:hAnsi="仿宋" w:eastAsia="仿宋"/>
          <w:b w:val="0"/>
          <w:i w:val="0"/>
          <w:color w:val="000000"/>
          <w:sz w:val="24"/>
          <w:lang w:eastAsia="en-US"/>
        </w:rPr>
      </w:pPr>
    </w:p>
    <w:tbl>
      <w:tblPr>
        <w:tblStyle w:val="2"/>
        <w:tblpPr w:leftFromText="180" w:rightFromText="180" w:vertAnchor="text" w:horzAnchor="page" w:tblpXSpec="center" w:tblpY="-17"/>
        <w:tblOverlap w:val="never"/>
        <w:tblW w:w="89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5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80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0"/>
                <w:lang w:eastAsia="en-US"/>
              </w:rPr>
              <w:t>主要财务指标</w:t>
            </w:r>
          </w:p>
        </w:tc>
        <w:tc>
          <w:tcPr>
            <w:tcW w:w="5890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报告期（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202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en-US"/>
              </w:rPr>
              <w:t>5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年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en-US"/>
              </w:rPr>
              <w:t>0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en-US"/>
              </w:rPr>
              <w:t>0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1日至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202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en-US"/>
              </w:rPr>
              <w:t>5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年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en-US"/>
              </w:rPr>
              <w:t>0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en-US"/>
              </w:rPr>
              <w:t>3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80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0"/>
                <w:lang w:eastAsia="en-US"/>
              </w:rPr>
              <w:t>1.期末产品资产净值</w:t>
            </w:r>
          </w:p>
        </w:tc>
        <w:tc>
          <w:tcPr>
            <w:tcW w:w="589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3,558,153,344.87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80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0"/>
                <w:lang w:eastAsia="en-US"/>
              </w:rPr>
              <w:t>2.期末产品份额</w:t>
            </w:r>
          </w:p>
        </w:tc>
        <w:tc>
          <w:tcPr>
            <w:tcW w:w="589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3,558,153,344.87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080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3.期末产品份额净值</w:t>
            </w:r>
          </w:p>
        </w:tc>
        <w:tc>
          <w:tcPr>
            <w:tcW w:w="5890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1.0000</w:t>
            </w:r>
          </w:p>
        </w:tc>
      </w:tr>
    </w:tbl>
    <w:p>
      <w:pPr>
        <w:jc w:val="left"/>
        <w:rPr>
          <w:rFonts w:ascii="仿宋" w:hAnsi="仿宋" w:eastAsia="仿宋"/>
          <w:b w:val="0"/>
          <w:i w:val="0"/>
          <w:color w:val="000000"/>
          <w:sz w:val="24"/>
          <w:lang w:eastAsia="en-US"/>
        </w:rPr>
      </w:pPr>
    </w:p>
    <w:p>
      <w:pPr>
        <w:jc w:val="left"/>
        <w:rPr>
          <w:rFonts w:ascii="仿宋" w:hAnsi="仿宋" w:eastAsia="仿宋"/>
          <w:b w:val="0"/>
          <w:i w:val="0"/>
          <w:color w:val="000000"/>
          <w:sz w:val="24"/>
          <w:highlight w:val="none"/>
        </w:rPr>
      </w:pPr>
      <w:r>
        <w:rPr>
          <w:rFonts w:ascii="仿宋" w:hAnsi="仿宋" w:eastAsia="仿宋"/>
          <w:b w:val="0"/>
          <w:i w:val="0"/>
          <w:color w:val="000000"/>
          <w:sz w:val="24"/>
        </w:rPr>
        <w:t>报告期内保持对市场的密切关注，运用多种方式为客户创造收益，</w:t>
      </w:r>
      <w:r>
        <w:rPr>
          <w:rFonts w:hint="eastAsia" w:ascii="仿宋" w:hAnsi="仿宋" w:eastAsia="仿宋"/>
          <w:b w:val="0"/>
          <w:i w:val="0"/>
          <w:color w:val="000000"/>
          <w:sz w:val="24"/>
          <w:lang w:eastAsia="zh-CN"/>
        </w:rPr>
        <w:t>季度末产品基金单位当日</w:t>
      </w:r>
      <w:r>
        <w:rPr>
          <w:rFonts w:hint="eastAsia" w:ascii="仿宋" w:hAnsi="仿宋" w:eastAsia="仿宋"/>
          <w:b w:val="0"/>
          <w:i w:val="0"/>
          <w:color w:val="000000"/>
          <w:sz w:val="24"/>
          <w:highlight w:val="none"/>
          <w:lang w:eastAsia="zh-CN"/>
        </w:rPr>
        <w:t>收益为</w:t>
      </w:r>
      <w:r>
        <w:rPr>
          <w:rFonts w:hint="eastAsia" w:ascii="仿宋" w:hAnsi="仿宋" w:eastAsia="仿宋"/>
          <w:b w:val="0"/>
          <w:i w:val="0"/>
          <w:color w:val="000000"/>
          <w:sz w:val="24"/>
          <w:highlight w:val="none"/>
          <w:lang w:val="en-US" w:eastAsia="zh-CN"/>
        </w:rPr>
        <w:t>0.4791，七日年化为1.7403</w:t>
      </w:r>
      <w:r>
        <w:rPr>
          <w:rFonts w:ascii="仿宋" w:hAnsi="仿宋" w:eastAsia="仿宋"/>
          <w:b w:val="0"/>
          <w:i w:val="0"/>
          <w:color w:val="000000"/>
          <w:sz w:val="24"/>
          <w:highlight w:val="none"/>
        </w:rPr>
        <w:t>。</w:t>
      </w:r>
    </w:p>
    <w:p>
      <w:pPr>
        <w:jc w:val="left"/>
        <w:rPr>
          <w:rFonts w:ascii="仿宋" w:hAnsi="仿宋" w:eastAsia="仿宋"/>
          <w:b w:val="0"/>
          <w:i w:val="0"/>
          <w:color w:val="000000"/>
          <w:sz w:val="24"/>
        </w:rPr>
      </w:pPr>
    </w:p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§4  产品投资策略和运作分析</w:t>
      </w:r>
    </w:p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4.1 报告期内产品投资策略和运作分析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  产品设立严格符合资管新规要求，投资策略为持有到期。产品自2020年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9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月成立以来，累计管理规模</w:t>
      </w:r>
      <w:r>
        <w:rPr>
          <w:rFonts w:hint="eastAsia" w:ascii="仿宋" w:hAnsi="仿宋" w:eastAsia="仿宋"/>
          <w:b w:val="0"/>
          <w:i w:val="0"/>
          <w:color w:val="000000"/>
          <w:sz w:val="24"/>
          <w:szCs w:val="22"/>
          <w:highlight w:val="none"/>
          <w:lang w:val="en-US" w:eastAsia="zh-CN"/>
        </w:rPr>
        <w:t>3,558,153,344.87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元，截止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en-US"/>
        </w:rPr>
        <w:t>5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en-US"/>
        </w:rPr>
        <w:t>0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6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en-US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日，净值</w:t>
      </w:r>
      <w:r>
        <w:rPr>
          <w:rFonts w:hint="eastAsia" w:ascii="仿宋" w:hAnsi="仿宋" w:eastAsia="仿宋"/>
          <w:b w:val="0"/>
          <w:i w:val="0"/>
          <w:color w:val="000000"/>
          <w:sz w:val="24"/>
          <w:szCs w:val="22"/>
          <w:highlight w:val="none"/>
          <w:lang w:val="en-US" w:eastAsia="zh-CN"/>
        </w:rPr>
        <w:t>3,558,153,344.87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4.2报告期内产品主要投资风险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  产品的投资品种价格受经济因素、政治因素、投资心理和交易制度等各种因素影响而波动，导致收益水平变化产生风险。主要包括：政策风险、经济周期风险、利率风险、信用风险、再投资风险等。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4.3产品流动性风险分析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 </w:t>
      </w:r>
    </w:p>
    <w:p>
      <w:pPr>
        <w:ind w:firstLine="48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本产品主要投资范围为标准化资产，并保有一定流动性储备，整体流动性风险可控。本产品通过额度控制、动态监测、正回购及变现高流动性资产的方式应对流动性风险。具体包括：一是跟踪资金申购赎回情况，提前备付流动资金；二是根据产品的期限，合理安排投资资产剩余期限，预防流动性风险；三是产品持有一定比例的高流动性资产，赎回期前主要通过储备的流动性或卖出资产变现，满足产品的流动性需求。</w:t>
      </w:r>
    </w:p>
    <w:p>
      <w:pPr>
        <w:ind w:firstLine="48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</w:p>
    <w:p>
      <w:pPr>
        <w:bidi w:val="0"/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§5 投资组合报告</w:t>
      </w:r>
    </w:p>
    <w:p>
      <w:pPr>
        <w:bidi w:val="0"/>
        <w:jc w:val="center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5.1 产品投资资产种类</w:t>
      </w:r>
    </w:p>
    <w:tbl>
      <w:tblPr>
        <w:tblStyle w:val="2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3320"/>
        <w:gridCol w:w="2919"/>
        <w:gridCol w:w="23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</w:p>
        </w:tc>
        <w:tc>
          <w:tcPr>
            <w:tcW w:w="3320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项目</w:t>
            </w:r>
          </w:p>
        </w:tc>
        <w:tc>
          <w:tcPr>
            <w:tcW w:w="2919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面值(元)</w:t>
            </w:r>
          </w:p>
        </w:tc>
        <w:tc>
          <w:tcPr>
            <w:tcW w:w="2385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产品总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资产比例(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%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固定收益投资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</w:rPr>
              <w:t>3,112,574,484.05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87.43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2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其中：债券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</w:rPr>
              <w:t>3,112,574,484.05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87.43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3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资产支持证券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4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权益投资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其中：股票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6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基金投资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7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信托投资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8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金融衍生品投资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9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买入返售金融资产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250,042,394.75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7.02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0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其中：买断式回购的买入返售金融资产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1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银行存款和结算备付金合计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</w:rPr>
              <w:t>197,648,303.51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2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其他资产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总计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 xml:space="preserve">3,560,265,182.31 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100.00</w:t>
            </w:r>
          </w:p>
        </w:tc>
      </w:tr>
    </w:tbl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5.2 前十大资产持仓情况</w:t>
      </w:r>
    </w:p>
    <w:tbl>
      <w:tblPr>
        <w:tblStyle w:val="2"/>
        <w:tblW w:w="93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129"/>
        <w:gridCol w:w="1991"/>
        <w:gridCol w:w="2203"/>
        <w:gridCol w:w="2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</w:p>
        </w:tc>
        <w:tc>
          <w:tcPr>
            <w:tcW w:w="2129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资产名称</w:t>
            </w:r>
          </w:p>
        </w:tc>
        <w:tc>
          <w:tcPr>
            <w:tcW w:w="1991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资产面值(元)</w:t>
            </w:r>
          </w:p>
        </w:tc>
        <w:tc>
          <w:tcPr>
            <w:tcW w:w="2203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资产公允价值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元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2366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产品净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资产比例(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%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25长沙银行CD062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140,000,000.00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 xml:space="preserve">139,940,500.00 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3.93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25晋商银行CD052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99,971,200.00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25江苏江南农村商业银行CD038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99,894,100.00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25东莞银行CD047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99,779,000.00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25广州农村商业银行CD023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99,7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48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25贵阳银行CD053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99,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461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30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 xml:space="preserve">0.00 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25郑州银行CD048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99,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333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8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25贵州银行CD011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8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953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7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25中原银行CD138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98,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8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8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25桂林银行CD045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90,000,000.00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89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531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 w:val="0"/>
                <w:sz w:val="24"/>
                <w:lang w:val="en-US" w:eastAsia="zh-CN"/>
              </w:rPr>
              <w:t>280</w:t>
            </w:r>
            <w:r>
              <w:rPr>
                <w:rFonts w:hint="default" w:ascii="仿宋" w:hAnsi="仿宋" w:eastAsia="仿宋"/>
                <w:b w:val="0"/>
                <w:sz w:val="24"/>
                <w:lang w:val="en-US" w:eastAsia="zh-CN"/>
              </w:rPr>
              <w:t xml:space="preserve">.00 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</w:tr>
    </w:tbl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widowControl/>
        <w:bidi w:val="0"/>
        <w:jc w:val="center"/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§</w:t>
      </w: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24"/>
          <w:szCs w:val="20"/>
          <w:lang w:val="en-US" w:eastAsia="zh-CN"/>
        </w:rPr>
        <w:t>6</w:t>
      </w: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 xml:space="preserve"> </w:t>
      </w: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24"/>
          <w:szCs w:val="20"/>
          <w:lang w:val="en-US" w:eastAsia="zh-CN"/>
        </w:rPr>
        <w:t>托管人</w:t>
      </w: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报告</w:t>
      </w:r>
    </w:p>
    <w:p>
      <w:pPr>
        <w:jc w:val="left"/>
        <w:rPr>
          <w:rFonts w:ascii="仿宋" w:hAnsi="仿宋" w:eastAsia="仿宋"/>
          <w:b/>
          <w:i w:val="0"/>
          <w:color w:val="000000"/>
          <w:sz w:val="2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ascii="仿宋" w:hAnsi="仿宋" w:eastAsia="仿宋"/>
          <w:b w:val="0"/>
          <w:i w:val="0"/>
          <w:color w:val="000000"/>
          <w:sz w:val="24"/>
          <w:lang w:eastAsia="en-US"/>
        </w:rPr>
      </w:pPr>
      <w:r>
        <w:rPr>
          <w:rFonts w:hint="eastAsia" w:ascii="仿宋" w:hAnsi="仿宋" w:eastAsia="仿宋"/>
          <w:b w:val="0"/>
          <w:i w:val="0"/>
          <w:color w:val="000000"/>
          <w:sz w:val="24"/>
          <w:szCs w:val="22"/>
          <w:lang w:val="en-US" w:eastAsia="zh-CN"/>
        </w:rPr>
        <w:t>工商银行具备完善的公司治理结构、内部稽核监控制度和风险控制制度，我行在履行托管职责中，严格遵守有关法律法规、托管协议的规定，尽职尽责地履行托管义务并安全保管托管资产。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W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1FE1"/>
    <w:rsid w:val="023D3E26"/>
    <w:rsid w:val="04836438"/>
    <w:rsid w:val="0731698E"/>
    <w:rsid w:val="07F36610"/>
    <w:rsid w:val="0BE9219C"/>
    <w:rsid w:val="0D2D75E8"/>
    <w:rsid w:val="12767544"/>
    <w:rsid w:val="13265951"/>
    <w:rsid w:val="1EED5A10"/>
    <w:rsid w:val="20B912D1"/>
    <w:rsid w:val="2311391C"/>
    <w:rsid w:val="239E502E"/>
    <w:rsid w:val="24E8576B"/>
    <w:rsid w:val="25934840"/>
    <w:rsid w:val="27F5446E"/>
    <w:rsid w:val="28DB6496"/>
    <w:rsid w:val="294A584A"/>
    <w:rsid w:val="294D4ABB"/>
    <w:rsid w:val="31BD3F90"/>
    <w:rsid w:val="39433067"/>
    <w:rsid w:val="39AA15AF"/>
    <w:rsid w:val="3A530339"/>
    <w:rsid w:val="3A680E02"/>
    <w:rsid w:val="3C1C2FB8"/>
    <w:rsid w:val="45232B49"/>
    <w:rsid w:val="46E13057"/>
    <w:rsid w:val="46E3326F"/>
    <w:rsid w:val="4B556235"/>
    <w:rsid w:val="4BEE4F7F"/>
    <w:rsid w:val="4CD162A0"/>
    <w:rsid w:val="51B9186B"/>
    <w:rsid w:val="530B5FD0"/>
    <w:rsid w:val="55BE6267"/>
    <w:rsid w:val="56652B83"/>
    <w:rsid w:val="5AE144ED"/>
    <w:rsid w:val="5D2609A7"/>
    <w:rsid w:val="5F431E6C"/>
    <w:rsid w:val="64D4225C"/>
    <w:rsid w:val="68BF289F"/>
    <w:rsid w:val="6A961CE2"/>
    <w:rsid w:val="6BD769E1"/>
    <w:rsid w:val="6D0C3B99"/>
    <w:rsid w:val="6E211FE1"/>
    <w:rsid w:val="71F0393A"/>
    <w:rsid w:val="78CE2ECD"/>
    <w:rsid w:val="7A1E7710"/>
    <w:rsid w:val="7B7E6618"/>
    <w:rsid w:val="7BA80B31"/>
    <w:rsid w:val="7E4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Andale WT" w:hAnsi="Andale WT" w:eastAsia="Andale WT" w:cs="Andale WT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2022-10-20T07:48:00Z</dcterms:created>
  <dc:creator>gdgz-wenjx</dc:creator>
  <cp:lastModifiedBy>Administrator</cp:lastModifiedBy>
  <dcterms:modified xsi:type="dcterms:W3CDTF">2025-08-29T01:23:35Z</dcterms:modified>
  <dc:title>季度报告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D1C7029C7AF449A89CCEBC7627B295B5</vt:lpwstr>
  </property>
</Properties>
</file>